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90" w:rsidRPr="000E143B" w:rsidRDefault="00DF2C90" w:rsidP="00DF2C90">
      <w:pPr>
        <w:pStyle w:val="a3"/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0E143B">
        <w:rPr>
          <w:rFonts w:ascii="Times New Roman" w:hAnsi="Times New Roman" w:cs="Times New Roman"/>
          <w:b/>
          <w:sz w:val="48"/>
          <w:szCs w:val="48"/>
          <w:lang w:val="en-US"/>
        </w:rPr>
        <w:t>Mavzu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: </w:t>
      </w:r>
      <w:proofErr w:type="spellStart"/>
      <w:proofErr w:type="gramStart"/>
      <w:r w:rsidRPr="000E143B">
        <w:rPr>
          <w:rFonts w:ascii="Times New Roman" w:hAnsi="Times New Roman" w:cs="Times New Roman"/>
          <w:sz w:val="48"/>
          <w:szCs w:val="48"/>
          <w:lang w:val="en-US"/>
        </w:rPr>
        <w:t>Ruscha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usulda</w:t>
      </w:r>
      <w:proofErr w:type="spellEnd"/>
      <w:proofErr w:type="gram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 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xizmat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 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ko`rsatish</w:t>
      </w:r>
      <w:proofErr w:type="spellEnd"/>
    </w:p>
    <w:p w:rsidR="00DF2C90" w:rsidRPr="000E143B" w:rsidRDefault="00DF2C90" w:rsidP="00DF2C90">
      <w:pPr>
        <w:pStyle w:val="a3"/>
        <w:rPr>
          <w:rFonts w:ascii="Times New Roman" w:hAnsi="Times New Roman" w:cs="Times New Roman"/>
          <w:sz w:val="48"/>
          <w:szCs w:val="48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Reja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1.O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`z-o`ziga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ko`rsatish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2.Issiq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ichimliklar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Pr="00765006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>O‘z-o‘ziga</w:t>
      </w:r>
      <w:proofErr w:type="spellEnd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>xizmat</w:t>
      </w:r>
      <w:proofErr w:type="spellEnd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>qilish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Dasturxonga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ovqat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tortishda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asosan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o‘z-o‘ziga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ko‘rsatish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elementlaridan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foydalaniladi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Qoidaga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ko‘ra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mehmon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o‘zi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ofitsiant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unga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yordamlashadi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Bu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usulda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qiluvchi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idishdagi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barcha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sovuq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issiq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bevosita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tegishli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jihozlar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oldindan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qilinadigan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ovqatlanish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joylashtiriladi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Ofitsiant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oval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idishlarning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tagiga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issiq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ovqat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gazlamali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salfetka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qo‘yib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dumaloq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idishlarning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tagiga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likopcha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qo‘yadi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Sovuq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gazaklarni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ziyofat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avvalida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bir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vaqtda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dasturxonga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issiq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esa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ketma-ketlik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Issiq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tortilishidan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avval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isitilgan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kichik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likopchalar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qo‘yib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chiqiladi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237FC4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Ofitsiant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navbatdagi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tortishdan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oldin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stoldagi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ishlatilgan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idishlarni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tozasiga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almashtiradi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Taqsimlangan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mijozning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chap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tomonidan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likop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yoniga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Alohida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idishlardagi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garnir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souslarni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ham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xuddi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shu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tarzda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likop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yoniga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chapdan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o‘ngga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qarab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joylashtiriladi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237FC4" w:rsidRDefault="00237FC4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8-rasm.</w:t>
      </w:r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sozlash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bezatish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7FC4" w:rsidRDefault="00237FC4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237FC4" w:rsidRDefault="00237FC4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</w:t>
      </w:r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Mehmonlar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o‘z-o‘ziga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ko‘rsatadi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Bunda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tortishda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ingliz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fransuz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usullar</w:t>
      </w:r>
      <w:r>
        <w:rPr>
          <w:rFonts w:ascii="Times New Roman" w:hAnsi="Times New Roman" w:cs="Times New Roman"/>
          <w:sz w:val="32"/>
          <w:szCs w:val="32"/>
          <w:lang w:val="en-US"/>
        </w:rPr>
        <w:t>idan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foydalansa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Shuningdek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foyeda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yoki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banket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zalida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sovuq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gazaklar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bufet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stolini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o‘rnatish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odatiy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holdir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Menyuda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taqdim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etilgan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issiq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bevosita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bayram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>Issiq</w:t>
      </w:r>
      <w:proofErr w:type="spellEnd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>ichimliklar</w:t>
      </w:r>
      <w:proofErr w:type="spellEnd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>Issiq</w:t>
      </w:r>
      <w:proofErr w:type="spellEnd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b/>
          <w:sz w:val="32"/>
          <w:szCs w:val="32"/>
          <w:lang w:val="en-US"/>
        </w:rPr>
        <w:t>ichimliklar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qahva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choy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qahva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idishlari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choynaklarda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shuningdek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samovarlarda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bufetdagi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ichimliklar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esa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shishalarda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dekanterlarda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ko‘zalarda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tortiladi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Xizmatning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ruscha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usuli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asosan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tabiatda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ko‘rsatish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usuliga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taalluqlidir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ko‘pincha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marosimlarda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ishlatiladi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(8-rasm).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Bayram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stoliga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oldindan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qilinadi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sanchqilar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shisha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idishlar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salfetkalar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gullar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>).</w:t>
      </w:r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Mehmonlar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kelishidan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oldin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dasturxonga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sovuq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gazaklar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salatlar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sovuq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baliq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go‘shtli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taomlar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mevalar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7650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65006">
        <w:rPr>
          <w:rFonts w:ascii="Times New Roman" w:hAnsi="Times New Roman" w:cs="Times New Roman"/>
          <w:sz w:val="32"/>
          <w:szCs w:val="32"/>
          <w:lang w:val="en-US"/>
        </w:rPr>
        <w:t>ichimliklar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F2C90" w:rsidRDefault="00DF2C90" w:rsidP="00DF2C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sectPr w:rsidR="00DF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4C"/>
    <w:rsid w:val="00013497"/>
    <w:rsid w:val="0017665D"/>
    <w:rsid w:val="001D7D4C"/>
    <w:rsid w:val="00237FC4"/>
    <w:rsid w:val="003668FB"/>
    <w:rsid w:val="00D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2023-07-25T11:11:00Z</dcterms:created>
  <dcterms:modified xsi:type="dcterms:W3CDTF">2023-07-25T11:24:00Z</dcterms:modified>
</cp:coreProperties>
</file>