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31" w:rsidRDefault="0041367A" w:rsidP="00763931">
      <w:pPr>
        <w:spacing w:line="276" w:lineRule="auto"/>
        <w:jc w:val="center"/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</w:pPr>
      <w:bookmarkStart w:id="0" w:name="_GoBack"/>
      <w:bookmarkEnd w:id="0"/>
      <w:proofErr w:type="spellStart"/>
      <w:r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>Hisobga</w:t>
      </w:r>
      <w:proofErr w:type="spellEnd"/>
      <w:r w:rsidR="00763931"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>olingan</w:t>
      </w:r>
      <w:proofErr w:type="spellEnd"/>
      <w:r w:rsidR="00763931"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>asosiy</w:t>
      </w:r>
      <w:proofErr w:type="spellEnd"/>
      <w:r w:rsidR="00763931"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color w:val="000000"/>
          <w:sz w:val="28"/>
          <w:szCs w:val="28"/>
          <w:lang w:val="ru-RU" w:bidi="ar"/>
        </w:rPr>
        <w:t>vositalar</w:t>
      </w:r>
      <w:proofErr w:type="spellEnd"/>
    </w:p>
    <w:p w:rsidR="00763931" w:rsidRDefault="0041367A" w:rsidP="00763931">
      <w:pPr>
        <w:spacing w:line="276" w:lineRule="auto"/>
        <w:jc w:val="both"/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</w:pP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Korxonada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bitta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nomenklatura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uchun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bir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vaqtning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o’zida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birnechta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narx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turlari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ishlatilishi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mumkin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masalan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harid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narxi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sotish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narxi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Narx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turlari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Predpriyatiya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-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Tovar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(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material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,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produksiya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,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uslugi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)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menyusidagi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Tip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sen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nomenklatur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ma’lumotnomasida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>belgilanadi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440074A6" wp14:editId="6087CC75">
            <wp:extent cx="5271135" cy="2316480"/>
            <wp:effectExtent l="0" t="0" r="5715" b="762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31" w:rsidRPr="0041367A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aniq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turiga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bog’lagan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holda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belgilash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uchun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Predpriyatiye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-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Tovar</w:t>
      </w:r>
      <w:proofErr w:type="spellStart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(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material</w:t>
      </w:r>
      <w:proofErr w:type="spellStart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produksiya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uslugi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)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menyusidagi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Ustanovka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nomenklatur</w:t>
      </w:r>
      <w:proofErr w:type="spellStart"/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proofErr w:type="spellEnd"/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ishlatiladi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.</w:t>
      </w:r>
    </w:p>
    <w:p w:rsidR="00763931" w:rsidRPr="0041367A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54BBA1A2" wp14:editId="3D34AABB">
            <wp:extent cx="5270500" cy="3596640"/>
            <wp:effectExtent l="0" t="0" r="6350" b="381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31" w:rsidRPr="0041367A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Yangi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tugmasi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orqali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yaratiladi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shaklida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763931" w:rsidRPr="0041367A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ko’rsatilgan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tartib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kuchga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kiruvchi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sanani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o’rnatish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zarur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Zapolnit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tugmasi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yordamida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jadval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qismini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avtomatik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ravishda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pozisiyasi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nomlari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to’ldirish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.</w:t>
      </w: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 wp14:anchorId="28868A79" wp14:editId="4C7B02D2">
            <wp:extent cx="4600575" cy="3381375"/>
            <wp:effectExtent l="0" t="0" r="9525" b="952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31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to’g’risidagi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ma’lumotlar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kelgusida</w:t>
      </w:r>
      <w:proofErr w:type="spellEnd"/>
    </w:p>
    <w:p w:rsidR="00763931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hujjatlarning</w:t>
      </w:r>
      <w:proofErr w:type="spellEnd"/>
      <w:proofErr w:type="gram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jadval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qimslarini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avtomatik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ravishda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to’ldirishda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foydalaniladi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Foydalanuvchi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ma’lumotlar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bazasida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saqlashdan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voz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kechishi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lekin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har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gram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safar</w:t>
      </w:r>
      <w:proofErr w:type="gram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sotish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yoki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tovar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-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moddiy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qiymatliklarning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kelib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tushishi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hujjatlarini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to’ldirishda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qo’ldan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kiritishiga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to’g’ri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keladi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Hujjatlarning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jadval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qismlarini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avtomatik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tarzda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to’ldirish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gram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va</w:t>
      </w:r>
      <w:proofErr w:type="gram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yoppasiga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o’zgartirish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uchun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qulay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imkoniyatlar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yaratadi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.</w:t>
      </w: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26281B57" wp14:editId="6BADA568">
            <wp:extent cx="5270500" cy="3057525"/>
            <wp:effectExtent l="0" t="0" r="6350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31" w:rsidRPr="0041367A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Masalan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Osnovnaya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sena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zakupki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turdagi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yozish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uchun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Ustanovka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nomenklatur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yaratish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Tip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maydoniga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Osnovnaya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sena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zakupki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qiymatini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tanlash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Zapolnit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tugmasi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yordamida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jadval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qismiga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bitta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yoki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birnechta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qabul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qilish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hujjatlari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kiritish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yozish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lastRenderedPageBreak/>
        <w:t>o’tkazishdan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keyin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keyingi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shunga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o’hshash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nusxalash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yo’li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yaratish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uning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jadval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qismini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avtomatik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ravishda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ma’lumotlar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bazasida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mavjud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to’ldirish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Izmenit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tugmasi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orqali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barcha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narxlarni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20%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ga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oshirish</w:t>
      </w:r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proofErr w:type="spellEnd"/>
      <w:r w:rsidR="00763931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Keyin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turini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Osnovnaya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sena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prodaji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o’zgartirish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saqlash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va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hujjatni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o’tkazish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zarur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Shundan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keyin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harid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qilish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nisbatan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20%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ustamasi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ulgurji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763931" w:rsidRPr="0041367A" w:rsidRDefault="0041367A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ma’lumotlar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bazasiga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yoziladi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Shu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yo’l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chakana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yoki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mayda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ulgurji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ulgurji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yoki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harid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nisbatan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oldindan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tanlangan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ustamasi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bilan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ma’lumotlar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bazasiga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kiritish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Tayyor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mahsulotning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rejaviy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tannarxini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hisoblashda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foydalaniladigan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o’ziga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xos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uning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rejaviy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hisoblanadi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Nomenklaturaning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rejaviy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hisob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parametrlarini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sozlashning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Proizvodstvo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bo’limida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ko’rsatiladi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.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Belgilangan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narxlarni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Predpriyatiye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-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Tovar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(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material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,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produksiyauslugi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) 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-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Sen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>nomenklatur</w:t>
      </w:r>
      <w:r w:rsidR="00763931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val="ru-RU" w:bidi="ar"/>
        </w:rPr>
        <w:t>ы</w:t>
      </w:r>
      <w:r w:rsidR="00763931" w:rsidRPr="0041367A">
        <w:rPr>
          <w:rFonts w:ascii="Times New Roman" w:eastAsia="serif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menyusida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ko’rish</w:t>
      </w:r>
      <w:r w:rsidR="00763931"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 xml:space="preserve"> </w:t>
      </w:r>
      <w:r w:rsidRPr="0041367A">
        <w:rPr>
          <w:rFonts w:ascii="Times New Roman" w:eastAsia="serif" w:hAnsi="Times New Roman" w:cs="Times New Roman"/>
          <w:color w:val="000000"/>
          <w:sz w:val="28"/>
          <w:szCs w:val="28"/>
          <w:lang w:bidi="ar"/>
        </w:rPr>
        <w:t>mumkin</w:t>
      </w:r>
    </w:p>
    <w:p w:rsidR="00763931" w:rsidRDefault="00763931" w:rsidP="007639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7FAF6796" wp14:editId="0725D969">
            <wp:extent cx="5271135" cy="1828165"/>
            <wp:effectExtent l="0" t="0" r="5715" b="63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A8" w:rsidRDefault="0041367A"/>
    <w:sectPr w:rsidR="00BC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DF"/>
    <w:rsid w:val="001121DF"/>
    <w:rsid w:val="002A62B1"/>
    <w:rsid w:val="0041367A"/>
    <w:rsid w:val="00763931"/>
    <w:rsid w:val="00B4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3B3C-D166-41ED-8EF2-4CBF8C74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3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Monomarkaz03</dc:creator>
  <cp:keywords/>
  <dc:description/>
  <cp:lastModifiedBy>Учетная запись Майкрософт</cp:lastModifiedBy>
  <cp:revision>2</cp:revision>
  <dcterms:created xsi:type="dcterms:W3CDTF">2023-07-21T06:29:00Z</dcterms:created>
  <dcterms:modified xsi:type="dcterms:W3CDTF">2023-07-21T06:29:00Z</dcterms:modified>
</cp:coreProperties>
</file>