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29" w:rsidRPr="00CE1E2A" w:rsidRDefault="00FC3629" w:rsidP="0027552A">
      <w:pPr>
        <w:pStyle w:val="2"/>
        <w:numPr>
          <w:ilvl w:val="0"/>
          <w:numId w:val="0"/>
        </w:numPr>
        <w:ind w:left="936"/>
      </w:pPr>
      <w:bookmarkStart w:id="0" w:name="_Toc513463614"/>
      <w:bookmarkStart w:id="1" w:name="_Toc516692395"/>
      <w:proofErr w:type="spellStart"/>
      <w:proofErr w:type="gramStart"/>
      <w:r w:rsidRPr="00CE1E2A">
        <w:t>Induktiv</w:t>
      </w:r>
      <w:proofErr w:type="spellEnd"/>
      <w:r w:rsidRPr="00CE1E2A">
        <w:t xml:space="preserve">  </w:t>
      </w:r>
      <w:proofErr w:type="spellStart"/>
      <w:r w:rsidRPr="00CE1E2A">
        <w:t>bog'langan</w:t>
      </w:r>
      <w:proofErr w:type="spellEnd"/>
      <w:proofErr w:type="gramEnd"/>
      <w:r w:rsidRPr="00CE1E2A">
        <w:t xml:space="preserve">  </w:t>
      </w:r>
      <w:proofErr w:type="spellStart"/>
      <w:r w:rsidRPr="00CE1E2A">
        <w:t>zanjirlar</w:t>
      </w:r>
      <w:proofErr w:type="spellEnd"/>
      <w:r w:rsidRPr="00CE1E2A">
        <w:t>.</w:t>
      </w:r>
      <w:bookmarkEnd w:id="0"/>
      <w:bookmarkEnd w:id="1"/>
    </w:p>
    <w:p w:rsidR="00FC3629" w:rsidRPr="00CE1E2A" w:rsidRDefault="00FC3629" w:rsidP="00FC3629">
      <w:pPr>
        <w:pStyle w:val="a3"/>
        <w:numPr>
          <w:ilvl w:val="0"/>
          <w:numId w:val="2"/>
        </w:numPr>
        <w:ind w:leftChars="0"/>
        <w:rPr>
          <w:rFonts w:eastAsiaTheme="minorHAnsi"/>
          <w:szCs w:val="20"/>
        </w:rPr>
      </w:pPr>
      <w:proofErr w:type="spellStart"/>
      <w:r w:rsidRPr="00CE1E2A">
        <w:rPr>
          <w:rFonts w:eastAsiaTheme="minorHAnsi" w:cs="Times New Roman"/>
          <w:szCs w:val="20"/>
        </w:rPr>
        <w:t>Induktiv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bog`langan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zanjirlar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haqida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tushuncha</w:t>
      </w:r>
      <w:proofErr w:type="spellEnd"/>
    </w:p>
    <w:p w:rsidR="00FC3629" w:rsidRPr="00CE1E2A" w:rsidRDefault="00FC3629" w:rsidP="0027552A">
      <w:pPr>
        <w:pStyle w:val="3"/>
        <w:numPr>
          <w:ilvl w:val="0"/>
          <w:numId w:val="0"/>
        </w:numPr>
        <w:ind w:left="823"/>
      </w:pPr>
      <w:bookmarkStart w:id="2" w:name="_Toc513463616"/>
      <w:bookmarkStart w:id="3" w:name="_Toc516692397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2"/>
      <w:bookmarkEnd w:id="3"/>
      <w:proofErr w:type="spellEnd"/>
      <w:r w:rsidRPr="00CE1E2A">
        <w:t xml:space="preserve"> </w:t>
      </w:r>
    </w:p>
    <w:p w:rsidR="00FC3629" w:rsidRPr="00CE1E2A" w:rsidRDefault="00FC3629" w:rsidP="00FC3629">
      <w:pPr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Agar  </w:t>
      </w:r>
      <w:proofErr w:type="spellStart"/>
      <w:r w:rsidRPr="00CE1E2A">
        <w:rPr>
          <w:rFonts w:eastAsiaTheme="minorHAnsi" w:cs="Times New Roman"/>
        </w:rPr>
        <w:t>elektr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zanjirning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elementidagi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o'zgarishi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boshqa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elementida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EYuK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paydo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bo'lishiga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sabab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bo'lsa</w:t>
      </w:r>
      <w:proofErr w:type="spellEnd"/>
      <w:r w:rsidRPr="00CE1E2A">
        <w:rPr>
          <w:rFonts w:eastAsiaTheme="minorHAnsi" w:cs="Times New Roman"/>
        </w:rPr>
        <w:t xml:space="preserve">,  u </w:t>
      </w:r>
      <w:proofErr w:type="spellStart"/>
      <w:r w:rsidRPr="00CE1E2A">
        <w:rPr>
          <w:rFonts w:eastAsiaTheme="minorHAnsi" w:cs="Times New Roman"/>
        </w:rPr>
        <w:t>holda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elementlar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induktiv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bog'langan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paydo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EYuK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induksiya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EYuKi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eyiladi.Ikki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elementning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induktiv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bog'lanish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darajasi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bog'lanish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koeffitsiyenti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yordamida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avsiflanadi</w:t>
      </w:r>
      <w:proofErr w:type="spellEnd"/>
      <w:r w:rsidRPr="00CE1E2A">
        <w:rPr>
          <w:rFonts w:eastAsiaTheme="minorHAnsi" w:cs="Times New Roman"/>
        </w:rPr>
        <w:t>:</w:t>
      </w:r>
    </w:p>
    <w:p w:rsidR="00FC3629" w:rsidRPr="00CE1E2A" w:rsidRDefault="00FC3629" w:rsidP="00FC3629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>k=</w:t>
      </w:r>
      <m:oMath>
        <m:f>
          <m:fPr>
            <m:ctrlPr>
              <w:rPr>
                <w:rFonts w:ascii="Cambria Math" w:eastAsiaTheme="minorHAnsi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eastAsiaTheme="minorHAnsi" w:hAnsi="Cambria Math" w:cs="Times New Roman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HAns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HAns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</w:rPr>
                      <m:t>2</m:t>
                    </m:r>
                  </m:sub>
                </m:sSub>
              </m:e>
            </m:rad>
          </m:den>
        </m:f>
      </m:oMath>
      <w:r w:rsidRPr="00CE1E2A">
        <w:rPr>
          <w:rFonts w:eastAsiaTheme="minorHAnsi" w:cs="Times New Roman"/>
        </w:rPr>
        <w:t xml:space="preserve"> ,</w:t>
      </w:r>
    </w:p>
    <w:p w:rsidR="00FC3629" w:rsidRPr="00CE1E2A" w:rsidRDefault="00FC3629" w:rsidP="00FC3629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bu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ifodada</w:t>
      </w:r>
      <w:proofErr w:type="spellEnd"/>
      <w:r w:rsidRPr="00CE1E2A">
        <w:rPr>
          <w:rFonts w:eastAsiaTheme="minorHAnsi" w:cs="Times New Roman"/>
        </w:rPr>
        <w:t xml:space="preserve">  M-</w:t>
      </w:r>
      <w:proofErr w:type="spellStart"/>
      <w:r w:rsidRPr="00CE1E2A">
        <w:rPr>
          <w:rFonts w:eastAsiaTheme="minorHAnsi" w:cs="Times New Roman"/>
        </w:rPr>
        <w:t>zanjir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elementlarining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induktivligi</w:t>
      </w:r>
      <w:proofErr w:type="spellEnd"/>
      <w:r w:rsidRPr="00CE1E2A">
        <w:rPr>
          <w:rFonts w:eastAsiaTheme="minorHAnsi" w:cs="Times New Roman"/>
        </w:rPr>
        <w:t>,  L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L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</w:rPr>
        <w:t xml:space="preserve"> –</w:t>
      </w:r>
      <w:proofErr w:type="spellStart"/>
      <w:r w:rsidRPr="00CE1E2A">
        <w:rPr>
          <w:rFonts w:eastAsiaTheme="minorHAnsi" w:cs="Times New Roman"/>
        </w:rPr>
        <w:t>zanjir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elementlarining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xususiy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induktivliklari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Induktiv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bog'lanish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koeffitsiyenti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har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doim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birdan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kichik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bo'lishligini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ko'rib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chiqamiz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Nisbatan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katta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o'lchamli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ikkita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induktiv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g'altak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berilgan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bo'lsin</w:t>
      </w:r>
      <w:proofErr w:type="spellEnd"/>
      <w:r w:rsidRPr="00CE1E2A">
        <w:rPr>
          <w:rFonts w:eastAsiaTheme="minorHAnsi" w:cs="Times New Roman"/>
        </w:rPr>
        <w:t xml:space="preserve">    </w:t>
      </w:r>
      <w:proofErr w:type="spellStart"/>
      <w:r w:rsidRPr="00CE1E2A">
        <w:rPr>
          <w:rFonts w:eastAsiaTheme="minorHAnsi" w:cs="Times New Roman"/>
        </w:rPr>
        <w:t>G’altaklarning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o'rami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oqimi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ilashgan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bo'lsin</w:t>
      </w:r>
      <w:proofErr w:type="spellEnd"/>
      <w:r w:rsidRPr="00CE1E2A">
        <w:rPr>
          <w:rFonts w:eastAsiaTheme="minorHAnsi" w:cs="Times New Roman"/>
        </w:rPr>
        <w:t>.  10-rasm</w:t>
      </w:r>
      <w:proofErr w:type="gramStart"/>
      <w:r w:rsidRPr="00CE1E2A">
        <w:rPr>
          <w:rFonts w:eastAsiaTheme="minorHAnsi" w:cs="Times New Roman"/>
        </w:rPr>
        <w:t>,  a</w:t>
      </w:r>
      <w:proofErr w:type="gramEnd"/>
      <w:r w:rsidRPr="00CE1E2A">
        <w:rPr>
          <w:rFonts w:eastAsiaTheme="minorHAnsi" w:cs="Times New Roman"/>
        </w:rPr>
        <w:t xml:space="preserve">  da  </w:t>
      </w:r>
      <w:proofErr w:type="spellStart"/>
      <w:r w:rsidRPr="00CE1E2A">
        <w:rPr>
          <w:rFonts w:eastAsiaTheme="minorHAnsi" w:cs="Times New Roman"/>
        </w:rPr>
        <w:t>birinchi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g'altakdan</w:t>
      </w:r>
      <w:proofErr w:type="spellEnd"/>
      <w:r w:rsidRPr="00CE1E2A">
        <w:rPr>
          <w:rFonts w:eastAsiaTheme="minorHAnsi" w:cs="Times New Roman"/>
        </w:rPr>
        <w:t xml:space="preserve">  i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o'tgan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holat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maydonining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tasviri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ko'rsatilgan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Birinchi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g'altak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o'ramlari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o'zinduksiya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oqimi</w:t>
      </w:r>
      <w:proofErr w:type="spellEnd"/>
      <w:r w:rsidRPr="00CE1E2A">
        <w:rPr>
          <w:rFonts w:eastAsiaTheme="minorHAnsi" w:cs="Times New Roman"/>
        </w:rPr>
        <w:t xml:space="preserve">  Ф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 xml:space="preserve"> ,  </w:t>
      </w:r>
      <w:proofErr w:type="spellStart"/>
      <w:r w:rsidRPr="00CE1E2A">
        <w:rPr>
          <w:rFonts w:eastAsiaTheme="minorHAnsi" w:cs="Times New Roman"/>
        </w:rPr>
        <w:t>ikkinchi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g'altak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o'ramlari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induksiya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oqimi</w:t>
      </w:r>
      <w:proofErr w:type="spellEnd"/>
      <w:r w:rsidRPr="00CE1E2A">
        <w:rPr>
          <w:rFonts w:eastAsiaTheme="minorHAnsi" w:cs="Times New Roman"/>
        </w:rPr>
        <w:t xml:space="preserve">  Ф</w:t>
      </w:r>
      <w:r w:rsidRPr="00CE1E2A">
        <w:rPr>
          <w:rFonts w:eastAsiaTheme="minorHAnsi" w:cs="Times New Roman"/>
          <w:vertAlign w:val="subscript"/>
        </w:rPr>
        <w:t>12</w:t>
      </w:r>
      <w:r w:rsidRPr="00CE1E2A">
        <w:rPr>
          <w:rFonts w:eastAsiaTheme="minorHAnsi" w:cs="Times New Roman"/>
        </w:rPr>
        <w:t xml:space="preserve"> , 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ilashgan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r w:rsidRPr="00CE1E2A">
        <w:rPr>
          <w:rFonts w:eastAsiaTheme="minorHAnsi" w:cs="Times New Roman"/>
        </w:rPr>
        <w:t>Birinchi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ikkinchi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g'altaklarning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o'zinduksiya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induksiya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ilashish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oqimlari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quyidagicha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aniqlanadi</w:t>
      </w:r>
      <w:proofErr w:type="spellEnd"/>
      <w:r w:rsidRPr="00CE1E2A">
        <w:rPr>
          <w:rFonts w:eastAsiaTheme="minorHAnsi" w:cs="Times New Roman"/>
        </w:rPr>
        <w:t>:</w:t>
      </w:r>
    </w:p>
    <w:p w:rsidR="00FC3629" w:rsidRPr="00CE1E2A" w:rsidRDefault="00FC3629" w:rsidP="00FC3629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>ψ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=</w:t>
      </w:r>
      <w:proofErr w:type="gramStart"/>
      <w:r w:rsidRPr="00CE1E2A">
        <w:rPr>
          <w:rFonts w:eastAsiaTheme="minorHAnsi" w:cs="Times New Roman"/>
        </w:rPr>
        <w:t>w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  <w:lang w:val="ru-RU"/>
        </w:rPr>
        <w:t>Ф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 xml:space="preserve"> ,</w:t>
      </w:r>
      <w:proofErr w:type="gramEnd"/>
      <w:r w:rsidRPr="00CE1E2A">
        <w:rPr>
          <w:rFonts w:eastAsiaTheme="minorHAnsi" w:cs="Times New Roman"/>
        </w:rPr>
        <w:t xml:space="preserve"> ψ</w:t>
      </w:r>
      <w:r w:rsidRPr="00CE1E2A">
        <w:rPr>
          <w:rFonts w:eastAsiaTheme="minorHAnsi" w:cs="Times New Roman"/>
          <w:vertAlign w:val="subscript"/>
        </w:rPr>
        <w:t>21</w:t>
      </w:r>
      <w:r w:rsidRPr="00CE1E2A">
        <w:rPr>
          <w:rFonts w:eastAsiaTheme="minorHAnsi" w:cs="Times New Roman"/>
        </w:rPr>
        <w:t>=w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  <w:lang w:val="ru-RU"/>
        </w:rPr>
        <w:t>Ф</w:t>
      </w:r>
      <w:r w:rsidRPr="00CE1E2A">
        <w:rPr>
          <w:rFonts w:eastAsiaTheme="minorHAnsi" w:cs="Times New Roman"/>
          <w:vertAlign w:val="subscript"/>
        </w:rPr>
        <w:t>21</w:t>
      </w:r>
    </w:p>
    <w:p w:rsidR="00FC3629" w:rsidRPr="00CE1E2A" w:rsidRDefault="00FC3629" w:rsidP="00FC3629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bunda</w:t>
      </w:r>
      <w:proofErr w:type="spellEnd"/>
      <w:proofErr w:type="gramEnd"/>
      <w:r w:rsidRPr="00CE1E2A">
        <w:rPr>
          <w:rFonts w:eastAsiaTheme="minorHAnsi" w:cs="Times New Roman"/>
        </w:rPr>
        <w:t xml:space="preserve"> w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w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</w:rPr>
        <w:t xml:space="preserve"> – </w:t>
      </w:r>
      <w:proofErr w:type="spellStart"/>
      <w:r w:rsidRPr="00CE1E2A">
        <w:rPr>
          <w:rFonts w:eastAsiaTheme="minorHAnsi" w:cs="Times New Roman"/>
        </w:rPr>
        <w:t>g`altaklar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o`ramlar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soni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FC3629" w:rsidRPr="00CE1E2A" w:rsidRDefault="00FC3629" w:rsidP="00FC3629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O’zaro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induksiya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oqimlari</w:t>
      </w:r>
      <w:proofErr w:type="spellEnd"/>
      <w:r w:rsidRPr="00CE1E2A">
        <w:rPr>
          <w:rFonts w:eastAsiaTheme="minorHAnsi" w:cs="Times New Roman"/>
        </w:rPr>
        <w:t xml:space="preserve">  (</w:t>
      </w:r>
      <w:r w:rsidRPr="00CE1E2A">
        <w:rPr>
          <w:rFonts w:eastAsiaTheme="minorHAnsi" w:cs="Times New Roman"/>
          <w:lang w:val="ru-RU"/>
        </w:rPr>
        <w:t>Ф</w:t>
      </w:r>
      <w:r w:rsidRPr="00CE1E2A">
        <w:rPr>
          <w:rFonts w:eastAsiaTheme="minorHAnsi" w:cs="Times New Roman"/>
          <w:vertAlign w:val="subscript"/>
        </w:rPr>
        <w:t>21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r w:rsidRPr="00CE1E2A">
        <w:rPr>
          <w:rFonts w:eastAsiaTheme="minorHAnsi" w:cs="Times New Roman"/>
          <w:lang w:val="ru-RU"/>
        </w:rPr>
        <w:t>Ф</w:t>
      </w:r>
      <w:r w:rsidRPr="00CE1E2A">
        <w:rPr>
          <w:rFonts w:eastAsiaTheme="minorHAnsi" w:cs="Times New Roman"/>
          <w:vertAlign w:val="subscript"/>
        </w:rPr>
        <w:t>12</w:t>
      </w:r>
      <w:r w:rsidRPr="00CE1E2A">
        <w:rPr>
          <w:rFonts w:eastAsiaTheme="minorHAnsi" w:cs="Times New Roman"/>
        </w:rPr>
        <w:t xml:space="preserve">)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ilashish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oqimlari</w:t>
      </w:r>
      <w:proofErr w:type="spellEnd"/>
      <w:r w:rsidRPr="00CE1E2A">
        <w:rPr>
          <w:rFonts w:eastAsiaTheme="minorHAnsi" w:cs="Times New Roman"/>
        </w:rPr>
        <w:t xml:space="preserve">  (ψ</w:t>
      </w:r>
      <w:r w:rsidRPr="00CE1E2A">
        <w:rPr>
          <w:rFonts w:eastAsiaTheme="minorHAnsi" w:cs="Times New Roman"/>
          <w:vertAlign w:val="subscript"/>
        </w:rPr>
        <w:t xml:space="preserve">21 </w:t>
      </w:r>
      <w:proofErr w:type="spellStart"/>
      <w:r w:rsidRPr="00CE1E2A">
        <w:rPr>
          <w:rFonts w:eastAsiaTheme="minorHAnsi" w:cs="Times New Roman"/>
          <w:vertAlign w:val="subscript"/>
        </w:rPr>
        <w:t>va</w:t>
      </w:r>
      <w:proofErr w:type="spellEnd"/>
      <w:r w:rsidRPr="00CE1E2A">
        <w:rPr>
          <w:rFonts w:eastAsiaTheme="minorHAnsi" w:cs="Times New Roman"/>
          <w:vertAlign w:val="subscript"/>
        </w:rPr>
        <w:t xml:space="preserve"> </w:t>
      </w:r>
      <w:r w:rsidRPr="00CE1E2A">
        <w:rPr>
          <w:rFonts w:eastAsiaTheme="minorHAnsi" w:cs="Times New Roman"/>
        </w:rPr>
        <w:t>ψ</w:t>
      </w:r>
      <w:r w:rsidRPr="00CE1E2A">
        <w:rPr>
          <w:rFonts w:eastAsiaTheme="minorHAnsi" w:cs="Times New Roman"/>
          <w:vertAlign w:val="subscript"/>
        </w:rPr>
        <w:t>12</w:t>
      </w:r>
      <w:r w:rsidRPr="00CE1E2A">
        <w:rPr>
          <w:rFonts w:eastAsiaTheme="minorHAnsi" w:cs="Times New Roman"/>
        </w:rPr>
        <w:t xml:space="preserve">)   </w:t>
      </w:r>
      <w:proofErr w:type="spellStart"/>
      <w:r w:rsidRPr="00CE1E2A">
        <w:rPr>
          <w:rFonts w:eastAsiaTheme="minorHAnsi" w:cs="Times New Roman"/>
        </w:rPr>
        <w:t>indeksidagi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birinchi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raqam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oqimning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qaysi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ilashayotganligini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ikkinchisi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shu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oqimni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hosil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qilgan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qaysi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konturga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tegishliligini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bildiradi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Ta'rif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bo'yicha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birinchi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g'altakning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induktivligi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g'altaklarning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induktivligi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quyidagilarga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teng</w:t>
      </w:r>
      <w:proofErr w:type="spellEnd"/>
      <w:r w:rsidRPr="00CE1E2A">
        <w:rPr>
          <w:rFonts w:eastAsiaTheme="minorHAnsi" w:cs="Times New Roman"/>
        </w:rPr>
        <w:t>:</w:t>
      </w:r>
    </w:p>
    <w:p w:rsidR="00FC3629" w:rsidRPr="00CE1E2A" w:rsidRDefault="00FC3629" w:rsidP="00FC3629">
      <w:pPr>
        <w:jc w:val="center"/>
        <w:rPr>
          <w:rFonts w:eastAsiaTheme="minorHAnsi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3AA3E72F" wp14:editId="3CE8CE1E">
            <wp:extent cx="3701289" cy="1047964"/>
            <wp:effectExtent l="0" t="0" r="0" b="0"/>
            <wp:docPr id="1845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452" t="32044" r="52608" b="5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882" cy="105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629" w:rsidRPr="00CE1E2A" w:rsidRDefault="00FC3629" w:rsidP="00FC3629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G’altakdan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o'tadigan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o'zinduksiya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oqimining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musbat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yo'nalishlarini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vint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qoidasiga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ko'ra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tanlaymiz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shuning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i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 xml:space="preserve">&gt; 0 </w:t>
      </w:r>
      <w:proofErr w:type="spellStart"/>
      <w:r w:rsidRPr="00CE1E2A">
        <w:rPr>
          <w:rFonts w:eastAsiaTheme="minorHAnsi" w:cs="Times New Roman"/>
        </w:rPr>
        <w:t>bo'ladi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ψ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/i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nisbat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doim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musbat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qiymatga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ega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induksiya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oqimining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musbat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yo'nalishi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ixtiyoriy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shuning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ψ</w:t>
      </w:r>
      <w:r w:rsidRPr="00CE1E2A">
        <w:rPr>
          <w:rFonts w:eastAsiaTheme="minorHAnsi" w:cs="Times New Roman"/>
          <w:vertAlign w:val="subscript"/>
        </w:rPr>
        <w:t>21</w:t>
      </w:r>
      <w:r w:rsidRPr="00CE1E2A">
        <w:rPr>
          <w:rFonts w:eastAsiaTheme="minorHAnsi" w:cs="Times New Roman"/>
        </w:rPr>
        <w:t>/i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 xml:space="preserve">   </w:t>
      </w:r>
      <w:proofErr w:type="spellStart"/>
      <w:r w:rsidRPr="00CE1E2A">
        <w:rPr>
          <w:rFonts w:eastAsiaTheme="minorHAnsi" w:cs="Times New Roman"/>
        </w:rPr>
        <w:t>nisbat</w:t>
      </w:r>
      <w:proofErr w:type="spellEnd"/>
      <w:r w:rsidRPr="00CE1E2A">
        <w:rPr>
          <w:rFonts w:eastAsiaTheme="minorHAnsi" w:cs="Times New Roman"/>
        </w:rPr>
        <w:t xml:space="preserve">  (</w:t>
      </w:r>
      <w:proofErr w:type="spellStart"/>
      <w:r w:rsidRPr="00CE1E2A">
        <w:rPr>
          <w:rFonts w:eastAsiaTheme="minorHAnsi" w:cs="Times New Roman"/>
        </w:rPr>
        <w:t>musbat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manfiy</w:t>
      </w:r>
      <w:proofErr w:type="spellEnd"/>
      <w:r w:rsidRPr="00CE1E2A">
        <w:rPr>
          <w:rFonts w:eastAsiaTheme="minorHAnsi" w:cs="Times New Roman"/>
        </w:rPr>
        <w:t xml:space="preserve">) </w:t>
      </w:r>
      <w:proofErr w:type="spellStart"/>
      <w:r w:rsidRPr="00CE1E2A">
        <w:rPr>
          <w:rFonts w:eastAsiaTheme="minorHAnsi" w:cs="Times New Roman"/>
        </w:rPr>
        <w:t>ishorali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bo’lishi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. </w:t>
      </w:r>
    </w:p>
    <w:p w:rsidR="00FC3629" w:rsidRPr="00CE1E2A" w:rsidRDefault="00FC3629" w:rsidP="00FC3629">
      <w:pPr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6FDE964D" wp14:editId="493901E1">
            <wp:extent cx="6038251" cy="1510301"/>
            <wp:effectExtent l="0" t="0" r="0" b="0"/>
            <wp:docPr id="8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216" t="29282" r="31365" b="5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55" cy="151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629" w:rsidRPr="00CE1E2A" w:rsidRDefault="00FC3629" w:rsidP="00FC3629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10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</w:p>
    <w:p w:rsidR="00FC3629" w:rsidRPr="00CE1E2A" w:rsidRDefault="00FC3629" w:rsidP="00FC3629">
      <w:pPr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10-rasm, b da </w:t>
      </w:r>
      <w:proofErr w:type="spellStart"/>
      <w:r w:rsidRPr="00CE1E2A">
        <w:rPr>
          <w:rFonts w:eastAsiaTheme="minorHAnsi" w:cs="Times New Roman"/>
        </w:rPr>
        <w:t>faqat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ikkinchi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g'altakdan</w:t>
      </w:r>
      <w:proofErr w:type="spellEnd"/>
      <w:r w:rsidRPr="00CE1E2A">
        <w:rPr>
          <w:rFonts w:eastAsiaTheme="minorHAnsi" w:cs="Times New Roman"/>
        </w:rPr>
        <w:t xml:space="preserve">  i2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o'tayotgan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holat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maydonining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tasviri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berilgan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Ta'rif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bo'yicha</w:t>
      </w:r>
      <w:proofErr w:type="spellEnd"/>
    </w:p>
    <w:p w:rsidR="00FC3629" w:rsidRPr="00CE1E2A" w:rsidRDefault="00FC3629" w:rsidP="00FC3629">
      <w:pPr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04D3BBA6" wp14:editId="49D275E4">
            <wp:extent cx="6152551" cy="421240"/>
            <wp:effectExtent l="0" t="0" r="0" b="0"/>
            <wp:docPr id="8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536" t="52453" r="38695" b="42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93" cy="4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629" w:rsidRPr="00CE1E2A" w:rsidRDefault="00FC3629" w:rsidP="00FC3629">
      <w:pPr>
        <w:ind w:firstLine="800"/>
        <w:jc w:val="left"/>
        <w:rPr>
          <w:rFonts w:eastAsiaTheme="minorHAnsi"/>
        </w:rPr>
      </w:pPr>
      <w:bookmarkStart w:id="4" w:name="_GoBack"/>
      <w:proofErr w:type="spellStart"/>
      <w:r w:rsidRPr="00CE1E2A">
        <w:rPr>
          <w:rFonts w:eastAsiaTheme="minorHAnsi" w:cs="Times New Roman"/>
        </w:rPr>
        <w:t>Amalda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ikki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g'altakning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o'ramlari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xil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bo'lmagan</w:t>
      </w:r>
      <w:proofErr w:type="spellEnd"/>
      <w:r w:rsidRPr="00CE1E2A">
        <w:rPr>
          <w:rFonts w:eastAsiaTheme="minorHAnsi" w:cs="Times New Roman"/>
        </w:rPr>
        <w:t xml:space="preserve"> (</w:t>
      </w:r>
      <w:proofErr w:type="spellStart"/>
      <w:r w:rsidRPr="00CE1E2A">
        <w:rPr>
          <w:rFonts w:eastAsiaTheme="minorHAnsi" w:cs="Times New Roman"/>
        </w:rPr>
        <w:t>bir-biridan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farq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qiladigan</w:t>
      </w:r>
      <w:proofErr w:type="spellEnd"/>
      <w:r w:rsidRPr="00CE1E2A">
        <w:rPr>
          <w:rFonts w:eastAsiaTheme="minorHAnsi" w:cs="Times New Roman"/>
        </w:rPr>
        <w:t xml:space="preserve">) 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oqimlar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ilashadi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shuning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har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doim</w:t>
      </w:r>
      <w:proofErr w:type="spellEnd"/>
      <w:r w:rsidRPr="00CE1E2A">
        <w:rPr>
          <w:rFonts w:eastAsiaTheme="minorHAnsi" w:cs="Times New Roman"/>
        </w:rPr>
        <w:t xml:space="preserve"> k &lt; 1bo'ladi.O'zaro  </w:t>
      </w:r>
      <w:proofErr w:type="spellStart"/>
      <w:r w:rsidRPr="00CE1E2A">
        <w:rPr>
          <w:rFonts w:eastAsiaTheme="minorHAnsi" w:cs="Times New Roman"/>
        </w:rPr>
        <w:t>induktiv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bog'lanish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koeffitsiyenti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qiymatini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g'altaklarni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bir-</w:t>
      </w:r>
      <w:r w:rsidRPr="00CE1E2A">
        <w:rPr>
          <w:rFonts w:eastAsiaTheme="minorHAnsi" w:cs="Times New Roman"/>
        </w:rPr>
        <w:lastRenderedPageBreak/>
        <w:t>biriga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nisbatan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siljitish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o'zgartirish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proofErr w:type="gramStart"/>
      <w:r w:rsidRPr="00CE1E2A">
        <w:rPr>
          <w:rFonts w:eastAsiaTheme="minorHAnsi" w:cs="Times New Roman"/>
        </w:rPr>
        <w:t>G’altaklari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birbiriga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nisbatan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siljishi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asbob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variometr</w:t>
      </w:r>
      <w:proofErr w:type="spellEnd"/>
      <w:r w:rsidRPr="00CE1E2A">
        <w:rPr>
          <w:rFonts w:eastAsiaTheme="minorHAnsi" w:cs="Times New Roman"/>
        </w:rPr>
        <w:t xml:space="preserve"> deb </w:t>
      </w:r>
      <w:proofErr w:type="spellStart"/>
      <w:r w:rsidRPr="00CE1E2A">
        <w:rPr>
          <w:rFonts w:eastAsiaTheme="minorHAnsi" w:cs="Times New Roman"/>
        </w:rPr>
        <w:t>ataladi</w:t>
      </w:r>
      <w:proofErr w:type="spellEnd"/>
      <w:r w:rsidRPr="00CE1E2A">
        <w:rPr>
          <w:rFonts w:eastAsiaTheme="minorHAnsi" w:cs="Times New Roman"/>
        </w:rPr>
        <w:t>.</w:t>
      </w:r>
    </w:p>
    <w:bookmarkEnd w:id="4"/>
    <w:p w:rsidR="001E59F1" w:rsidRDefault="001E59F1"/>
    <w:sectPr w:rsidR="001E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3A324BFE"/>
    <w:multiLevelType w:val="hybridMultilevel"/>
    <w:tmpl w:val="D09CA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D8"/>
    <w:rsid w:val="001E59F1"/>
    <w:rsid w:val="0027552A"/>
    <w:rsid w:val="005244D8"/>
    <w:rsid w:val="005A62E5"/>
    <w:rsid w:val="00F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629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FC3629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FC3629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FC3629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FC3629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FC3629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FC3629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C3629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FC3629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FC362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FC3629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FC3629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FC3629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FC362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FC3629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FC362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FC362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FC362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FC3629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FC3629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C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29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629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FC3629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FC3629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FC3629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FC3629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FC3629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FC3629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C3629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FC3629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FC362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FC3629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FC3629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FC3629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FC362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FC3629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FC362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FC362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FC362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FC3629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FC3629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C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29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3</cp:revision>
  <dcterms:created xsi:type="dcterms:W3CDTF">2023-01-20T07:39:00Z</dcterms:created>
  <dcterms:modified xsi:type="dcterms:W3CDTF">2023-07-18T13:00:00Z</dcterms:modified>
</cp:coreProperties>
</file>