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25" w:rsidRPr="00CE1E2A" w:rsidRDefault="00252025" w:rsidP="008263F3">
      <w:pPr>
        <w:pStyle w:val="2"/>
        <w:numPr>
          <w:ilvl w:val="0"/>
          <w:numId w:val="0"/>
        </w:numPr>
        <w:ind w:left="936"/>
      </w:pPr>
      <w:bookmarkStart w:id="0" w:name="_Toc513463602"/>
      <w:bookmarkStart w:id="1" w:name="_Toc516692383"/>
      <w:bookmarkStart w:id="2" w:name="_GoBack"/>
      <w:bookmarkEnd w:id="2"/>
      <w:proofErr w:type="spellStart"/>
      <w:r w:rsidRPr="00CE1E2A">
        <w:t>Aralash</w:t>
      </w:r>
      <w:proofErr w:type="spellEnd"/>
      <w:r w:rsidRPr="00CE1E2A">
        <w:t xml:space="preserve"> </w:t>
      </w:r>
      <w:proofErr w:type="spellStart"/>
      <w:r w:rsidRPr="00CE1E2A">
        <w:t>ulangan</w:t>
      </w:r>
      <w:proofErr w:type="spellEnd"/>
      <w:r w:rsidRPr="00CE1E2A">
        <w:t xml:space="preserve"> </w:t>
      </w:r>
      <w:proofErr w:type="spellStart"/>
      <w:r w:rsidRPr="00CE1E2A">
        <w:t>elementlardan</w:t>
      </w:r>
      <w:proofErr w:type="spellEnd"/>
      <w:r w:rsidRPr="00CE1E2A">
        <w:t xml:space="preserve"> </w:t>
      </w:r>
      <w:proofErr w:type="spellStart"/>
      <w:r w:rsidRPr="00CE1E2A">
        <w:t>iborat</w:t>
      </w:r>
      <w:proofErr w:type="spellEnd"/>
      <w:r w:rsidRPr="00CE1E2A">
        <w:t xml:space="preserve"> </w:t>
      </w:r>
      <w:proofErr w:type="spellStart"/>
      <w:r w:rsidRPr="00CE1E2A">
        <w:t>zanjirlarni</w:t>
      </w:r>
      <w:proofErr w:type="spellEnd"/>
      <w:r w:rsidRPr="00CE1E2A">
        <w:t xml:space="preserve"> </w:t>
      </w:r>
      <w:proofErr w:type="spellStart"/>
      <w:r w:rsidRPr="00CE1E2A">
        <w:t>ekvivalent</w:t>
      </w:r>
      <w:proofErr w:type="spellEnd"/>
      <w:r w:rsidRPr="00CE1E2A">
        <w:t xml:space="preserve"> </w:t>
      </w:r>
      <w:proofErr w:type="spellStart"/>
      <w:r w:rsidRPr="00CE1E2A">
        <w:t>o`zgartirish</w:t>
      </w:r>
      <w:bookmarkEnd w:id="0"/>
      <w:bookmarkEnd w:id="1"/>
      <w:proofErr w:type="spellEnd"/>
      <w:r w:rsidRPr="00CE1E2A">
        <w:t xml:space="preserve"> </w:t>
      </w:r>
    </w:p>
    <w:p w:rsidR="00252025" w:rsidRPr="00CE1E2A" w:rsidRDefault="00252025" w:rsidP="00252025">
      <w:pPr>
        <w:pStyle w:val="3"/>
      </w:pPr>
      <w:bookmarkStart w:id="3" w:name="_Toc516692384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3"/>
      <w:proofErr w:type="spellEnd"/>
    </w:p>
    <w:p w:rsidR="00252025" w:rsidRPr="00CE1E2A" w:rsidRDefault="00252025" w:rsidP="00252025">
      <w:pPr>
        <w:pStyle w:val="a3"/>
        <w:numPr>
          <w:ilvl w:val="0"/>
          <w:numId w:val="2"/>
        </w:numPr>
        <w:ind w:leftChars="0"/>
        <w:rPr>
          <w:rFonts w:eastAsiaTheme="minorHAnsi"/>
          <w:szCs w:val="20"/>
        </w:rPr>
      </w:pPr>
      <w:proofErr w:type="spellStart"/>
      <w:r w:rsidRPr="00CE1E2A">
        <w:rPr>
          <w:rFonts w:eastAsiaTheme="minorHAnsi" w:cs="Times New Roman"/>
          <w:szCs w:val="20"/>
        </w:rPr>
        <w:t>Zanjirda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elementlarni</w:t>
      </w:r>
      <w:proofErr w:type="spellEnd"/>
      <w:r w:rsidRPr="00CE1E2A">
        <w:rPr>
          <w:rFonts w:eastAsiaTheme="minorHAnsi" w:cs="Times New Roman"/>
          <w:szCs w:val="20"/>
        </w:rPr>
        <w:t xml:space="preserve">  </w:t>
      </w:r>
      <w:proofErr w:type="spellStart"/>
      <w:r w:rsidRPr="00CE1E2A">
        <w:rPr>
          <w:rFonts w:eastAsiaTheme="minorHAnsi" w:cs="Times New Roman"/>
          <w:szCs w:val="20"/>
        </w:rPr>
        <w:t>aralash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ulash</w:t>
      </w:r>
      <w:proofErr w:type="spellEnd"/>
    </w:p>
    <w:p w:rsidR="00252025" w:rsidRPr="00CE1E2A" w:rsidRDefault="00252025" w:rsidP="00252025">
      <w:pPr>
        <w:pStyle w:val="3"/>
      </w:pPr>
      <w:bookmarkStart w:id="4" w:name="_Toc513463604"/>
      <w:bookmarkStart w:id="5" w:name="_Toc516692385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4"/>
      <w:bookmarkEnd w:id="5"/>
      <w:proofErr w:type="spellEnd"/>
      <w:r w:rsidRPr="00CE1E2A">
        <w:t xml:space="preserve"> </w:t>
      </w:r>
    </w:p>
    <w:p w:rsidR="00252025" w:rsidRPr="00CE1E2A" w:rsidRDefault="00252025" w:rsidP="00252025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Aralash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zanjirda</w:t>
      </w:r>
      <w:proofErr w:type="spellEnd"/>
      <w:r w:rsidRPr="00CE1E2A">
        <w:rPr>
          <w:rFonts w:eastAsiaTheme="minorHAnsi" w:cs="Times New Roman"/>
        </w:rPr>
        <w:t xml:space="preserve">  parallel 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ketma-ket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bitta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ekvivalent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qutblik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almashtiriladi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ekvivalent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o'tkazuvchanlik</w:t>
      </w:r>
      <w:proofErr w:type="spellEnd"/>
      <w:r w:rsidRPr="00CE1E2A">
        <w:rPr>
          <w:rFonts w:eastAsiaTheme="minorHAnsi" w:cs="Times New Roman"/>
        </w:rPr>
        <w:t xml:space="preserve">  parallel 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o'tkazuvchanliklarining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yig'indisiga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bo'ladi.Bir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turdagi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ketma-ket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elementlarni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bitta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ekvivalent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qutblik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almashtirib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uning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umumiy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qarshiligi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ketma-ket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qarshiliklarning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yig'indisiga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</w:t>
      </w:r>
      <w:proofErr w:type="spellEnd"/>
      <w:r w:rsidRPr="00CE1E2A">
        <w:rPr>
          <w:rFonts w:eastAsiaTheme="minorHAnsi" w:cs="Times New Roman"/>
        </w:rPr>
        <w:t xml:space="preserve">  deb  </w:t>
      </w:r>
      <w:proofErr w:type="spellStart"/>
      <w:r w:rsidRPr="00CE1E2A">
        <w:rPr>
          <w:rFonts w:eastAsiaTheme="minorHAnsi" w:cs="Times New Roman"/>
        </w:rPr>
        <w:t>olinadi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Elementlari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aralash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sxemalarga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zanjirsimon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narvonsimon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kiradi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Ularning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o'tkazuvchanligi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uzluksiz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zanjirsimon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kasr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ifodalanishi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:</w:t>
      </w:r>
    </w:p>
    <w:p w:rsidR="00252025" w:rsidRPr="00CE1E2A" w:rsidRDefault="00252025" w:rsidP="00252025">
      <w:pPr>
        <w:ind w:firstLine="708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44311109" wp14:editId="2967686D">
            <wp:extent cx="5471888" cy="1386448"/>
            <wp:effectExtent l="0" t="0" r="0" b="0"/>
            <wp:docPr id="184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978" t="40741" r="32906" b="37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980" cy="139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25" w:rsidRPr="00CE1E2A" w:rsidRDefault="00252025" w:rsidP="00252025">
      <w:pPr>
        <w:rPr>
          <w:rFonts w:eastAsiaTheme="minorHAnsi" w:cs="Times New Roman"/>
          <w:lang w:eastAsia="ru-RU"/>
        </w:rPr>
      </w:pP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  <w:lang w:val="ru-RU"/>
        </w:rPr>
        <w:t xml:space="preserve">  </w:t>
      </w:r>
      <w:proofErr w:type="spellStart"/>
      <w:r w:rsidRPr="00CE1E2A">
        <w:rPr>
          <w:rFonts w:eastAsiaTheme="minorHAnsi" w:cs="Times New Roman"/>
        </w:rPr>
        <w:t>yerda</w:t>
      </w:r>
      <w:proofErr w:type="spellEnd"/>
      <w:r w:rsidRPr="00CE1E2A">
        <w:rPr>
          <w:rFonts w:eastAsiaTheme="minorHAnsi" w:cs="Times New Roman"/>
          <w:lang w:val="ru-RU"/>
        </w:rPr>
        <w:t xml:space="preserve">  а</w:t>
      </w:r>
      <w:r w:rsidRPr="00CE1E2A">
        <w:rPr>
          <w:rFonts w:eastAsiaTheme="minorHAnsi" w:cs="Times New Roman"/>
          <w:vertAlign w:val="subscript"/>
          <w:lang w:val="ru-RU"/>
        </w:rPr>
        <w:t>1</w:t>
      </w:r>
      <w:r w:rsidRPr="00CE1E2A">
        <w:rPr>
          <w:rFonts w:eastAsiaTheme="minorHAnsi" w:cs="Times New Roman"/>
          <w:lang w:val="ru-RU"/>
        </w:rPr>
        <w:t>,  а</w:t>
      </w:r>
      <w:r w:rsidRPr="00CE1E2A">
        <w:rPr>
          <w:rFonts w:eastAsiaTheme="minorHAnsi" w:cs="Times New Roman"/>
          <w:vertAlign w:val="subscript"/>
          <w:lang w:val="ru-RU"/>
        </w:rPr>
        <w:t>2</w:t>
      </w:r>
      <w:r w:rsidRPr="00CE1E2A">
        <w:rPr>
          <w:rFonts w:eastAsiaTheme="minorHAnsi" w:cs="Times New Roman"/>
          <w:lang w:val="ru-RU"/>
        </w:rPr>
        <w:t>,  а</w:t>
      </w:r>
      <w:r w:rsidRPr="00CE1E2A">
        <w:rPr>
          <w:rFonts w:eastAsiaTheme="minorHAnsi" w:cs="Times New Roman"/>
          <w:vertAlign w:val="subscript"/>
          <w:lang w:val="ru-RU"/>
        </w:rPr>
        <w:t>3</w:t>
      </w:r>
      <w:r w:rsidRPr="00CE1E2A">
        <w:rPr>
          <w:rFonts w:eastAsiaTheme="minorHAnsi" w:cs="Times New Roman"/>
          <w:lang w:val="ru-RU"/>
        </w:rPr>
        <w:t>,  а</w:t>
      </w:r>
      <w:r w:rsidRPr="00CE1E2A">
        <w:rPr>
          <w:rFonts w:eastAsiaTheme="minorHAnsi" w:cs="Times New Roman"/>
          <w:vertAlign w:val="subscript"/>
          <w:lang w:val="ru-RU"/>
        </w:rPr>
        <w:t>4</w:t>
      </w:r>
      <w:r w:rsidRPr="00CE1E2A">
        <w:rPr>
          <w:rFonts w:eastAsiaTheme="minorHAnsi" w:cs="Times New Roman"/>
          <w:lang w:val="ru-RU"/>
        </w:rPr>
        <w:t xml:space="preserve">,  ...  </w:t>
      </w:r>
      <w:proofErr w:type="spellStart"/>
      <w:r w:rsidRPr="00CE1E2A">
        <w:rPr>
          <w:rFonts w:eastAsiaTheme="minorHAnsi" w:cs="Times New Roman"/>
        </w:rPr>
        <w:t>а</w:t>
      </w:r>
      <w:r w:rsidRPr="00CE1E2A">
        <w:rPr>
          <w:rFonts w:eastAsiaTheme="minorHAnsi" w:cs="Times New Roman"/>
          <w:vertAlign w:val="subscript"/>
        </w:rPr>
        <w:t>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koeffitsiyentlar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zanjirsimon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kasrning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elementlari</w:t>
      </w:r>
      <w:proofErr w:type="spellEnd"/>
      <w:r w:rsidRPr="00CE1E2A">
        <w:rPr>
          <w:rFonts w:eastAsiaTheme="minorHAnsi" w:cs="Times New Roman"/>
        </w:rPr>
        <w:t xml:space="preserve">  deb  </w:t>
      </w:r>
      <w:proofErr w:type="spellStart"/>
      <w:r w:rsidRPr="00CE1E2A">
        <w:rPr>
          <w:rFonts w:eastAsiaTheme="minorHAnsi" w:cs="Times New Roman"/>
        </w:rPr>
        <w:t>ataladi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Kasr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elementlarining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soni</w:t>
      </w:r>
      <w:proofErr w:type="spellEnd"/>
      <w:r w:rsidRPr="00CE1E2A">
        <w:rPr>
          <w:rFonts w:eastAsiaTheme="minorHAnsi" w:cs="Times New Roman"/>
        </w:rPr>
        <w:t xml:space="preserve">  n </w:t>
      </w:r>
      <w:proofErr w:type="spellStart"/>
      <w:r w:rsidRPr="00CE1E2A">
        <w:rPr>
          <w:rFonts w:eastAsiaTheme="minorHAnsi" w:cs="Times New Roman"/>
        </w:rPr>
        <w:t>chegarali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zanjirsimon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kasr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mumkin.Oddiy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narvonsimon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</w:t>
      </w:r>
      <w:proofErr w:type="spellEnd"/>
      <w:r w:rsidRPr="00CE1E2A">
        <w:rPr>
          <w:rFonts w:eastAsiaTheme="minorHAnsi" w:cs="Times New Roman"/>
        </w:rPr>
        <w:t xml:space="preserve"> (3-rasm) </w:t>
      </w:r>
      <w:proofErr w:type="spellStart"/>
      <w:r w:rsidRPr="00CE1E2A">
        <w:rPr>
          <w:rFonts w:eastAsiaTheme="minorHAnsi" w:cs="Times New Roman"/>
        </w:rPr>
        <w:t>umumiy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qarshiligini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aniqlaymiz</w:t>
      </w:r>
      <w:proofErr w:type="spellEnd"/>
      <w:r w:rsidRPr="00CE1E2A">
        <w:rPr>
          <w:rFonts w:eastAsiaTheme="minorHAnsi" w:cs="Times New Roman"/>
        </w:rPr>
        <w:t>.</w:t>
      </w:r>
      <w:r w:rsidRPr="00CE1E2A">
        <w:rPr>
          <w:rFonts w:eastAsiaTheme="minorHAnsi" w:cs="Times New Roman"/>
          <w:lang w:eastAsia="ru-RU"/>
        </w:rPr>
        <w:t xml:space="preserve"> </w:t>
      </w:r>
    </w:p>
    <w:p w:rsidR="00252025" w:rsidRPr="00CE1E2A" w:rsidRDefault="00252025" w:rsidP="00252025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5D72C2A7" wp14:editId="16A26B85">
            <wp:extent cx="5093537" cy="856044"/>
            <wp:effectExtent l="0" t="0" r="0" b="0"/>
            <wp:docPr id="184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683" t="32593" r="33288" b="57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07" cy="86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25" w:rsidRPr="00CE1E2A" w:rsidRDefault="00252025" w:rsidP="00252025">
      <w:pPr>
        <w:ind w:firstLine="708"/>
        <w:rPr>
          <w:rFonts w:eastAsiaTheme="minorHAnsi" w:cs="Times New Roman"/>
        </w:rPr>
      </w:pPr>
      <w:proofErr w:type="gramStart"/>
      <w:r w:rsidRPr="00CE1E2A">
        <w:rPr>
          <w:rFonts w:eastAsiaTheme="minorHAnsi" w:cs="Times New Roman"/>
        </w:rPr>
        <w:t xml:space="preserve">Bu  </w:t>
      </w:r>
      <w:proofErr w:type="spellStart"/>
      <w:r w:rsidRPr="00CE1E2A">
        <w:rPr>
          <w:rFonts w:eastAsiaTheme="minorHAnsi" w:cs="Times New Roman"/>
        </w:rPr>
        <w:t>formuladagi</w:t>
      </w:r>
      <w:proofErr w:type="spellEnd"/>
      <w:proofErr w:type="gramEnd"/>
      <w:r w:rsidRPr="00CE1E2A">
        <w:rPr>
          <w:rFonts w:eastAsiaTheme="minorHAnsi" w:cs="Times New Roman"/>
        </w:rPr>
        <w:t xml:space="preserve">  R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qarshilikni</w:t>
      </w:r>
      <w:proofErr w:type="spellEnd"/>
      <w:r w:rsidRPr="00CE1E2A">
        <w:rPr>
          <w:rFonts w:eastAsiaTheme="minorHAnsi" w:cs="Times New Roman"/>
        </w:rPr>
        <w:t xml:space="preserve">  G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=1/R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o'tkazuvchanlik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almashtiramiz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uyidagi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ifodani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hosil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qilamiz</w:t>
      </w:r>
      <w:proofErr w:type="spellEnd"/>
      <w:r w:rsidRPr="00CE1E2A">
        <w:rPr>
          <w:rFonts w:eastAsiaTheme="minorHAnsi" w:cs="Times New Roman"/>
        </w:rPr>
        <w:t>:</w:t>
      </w:r>
    </w:p>
    <w:p w:rsidR="00252025" w:rsidRPr="00CE1E2A" w:rsidRDefault="00252025" w:rsidP="00252025">
      <w:pPr>
        <w:ind w:firstLine="708"/>
        <w:rPr>
          <w:rFonts w:eastAsiaTheme="minorHAnsi" w:cs="Times New Roman"/>
        </w:rPr>
      </w:pPr>
    </w:p>
    <w:p w:rsidR="00252025" w:rsidRPr="00CE1E2A" w:rsidRDefault="00252025" w:rsidP="00252025">
      <w:pPr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0F297999" wp14:editId="452A8B1E">
            <wp:extent cx="6173099" cy="1088497"/>
            <wp:effectExtent l="0" t="0" r="0" b="0"/>
            <wp:docPr id="6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55" t="23698" r="52572" b="6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23" cy="109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25" w:rsidRPr="00CE1E2A" w:rsidRDefault="00252025" w:rsidP="00252025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3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</w:p>
    <w:p w:rsidR="00252025" w:rsidRPr="00CE1E2A" w:rsidRDefault="00252025" w:rsidP="00252025">
      <w:pPr>
        <w:rPr>
          <w:rFonts w:eastAsiaTheme="minorHAnsi" w:cs="Times New Roman"/>
        </w:rPr>
      </w:pPr>
      <w:r w:rsidRPr="00CE1E2A">
        <w:rPr>
          <w:rFonts w:eastAsiaTheme="minorHAnsi" w:cs="Times New Roman"/>
        </w:rPr>
        <w:t>R=R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</w:t>
      </w:r>
      <m:oMath>
        <m:f>
          <m:fPr>
            <m:ctrlPr>
              <w:rPr>
                <w:rFonts w:ascii="Cambria Math" w:eastAsiaTheme="minorHAns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 w:cs="Times New Roman"/>
              </w:rPr>
              <m:t>+(1/</m:t>
            </m:r>
            <m:sSub>
              <m:sSubPr>
                <m:ctrlPr>
                  <w:rPr>
                    <w:rFonts w:ascii="Cambria Math" w:eastAsiaTheme="minorHAns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 w:cs="Times New Roman"/>
              </w:rPr>
              <m:t>)</m:t>
            </m:r>
          </m:den>
        </m:f>
      </m:oMath>
      <w:r w:rsidRPr="00CE1E2A">
        <w:rPr>
          <w:rFonts w:eastAsiaTheme="minorHAnsi" w:cs="Times New Roman"/>
        </w:rPr>
        <w:t xml:space="preserve">  Shunday qilib </w:t>
      </w:r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 xml:space="preserve">rilayotgan kirish qarshiligi zanjirsimon kasr bilan </w:t>
      </w:r>
      <w:proofErr w:type="spellStart"/>
      <w:r w:rsidRPr="00CE1E2A">
        <w:rPr>
          <w:rFonts w:eastAsiaTheme="minorHAnsi" w:cs="Times New Roman"/>
        </w:rPr>
        <w:t>tasvirlanadi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a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a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a</w:t>
      </w:r>
      <w:r w:rsidRPr="00CE1E2A">
        <w:rPr>
          <w:rFonts w:eastAsiaTheme="minorHAnsi" w:cs="Times New Roman"/>
          <w:vertAlign w:val="subscript"/>
        </w:rPr>
        <w:t>3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tegishli</w:t>
      </w:r>
      <w:proofErr w:type="spellEnd"/>
      <w:r w:rsidRPr="00CE1E2A">
        <w:rPr>
          <w:rFonts w:eastAsiaTheme="minorHAnsi" w:cs="Times New Roman"/>
        </w:rPr>
        <w:t xml:space="preserve"> R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3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lardir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Xuddi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shunday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o`zgartirishlar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narvonsimon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qarshiligini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zanjirsimon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kasr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ko`rinishida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ifodalaymiz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(1.29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r w:rsidRPr="00CE1E2A">
        <w:rPr>
          <w:rFonts w:eastAsiaTheme="minorHAnsi" w:cs="Times New Roman"/>
        </w:rPr>
        <w:t xml:space="preserve"> )</w:t>
      </w:r>
      <w:proofErr w:type="gramEnd"/>
      <w:r w:rsidRPr="00CE1E2A">
        <w:rPr>
          <w:rFonts w:eastAsiaTheme="minorHAnsi" w:cs="Times New Roman"/>
        </w:rPr>
        <w:t xml:space="preserve"> a):  </w:t>
      </w:r>
    </w:p>
    <w:p w:rsidR="00252025" w:rsidRPr="00CE1E2A" w:rsidRDefault="00252025" w:rsidP="00252025">
      <w:pPr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lastRenderedPageBreak/>
        <w:drawing>
          <wp:inline distT="0" distB="0" distL="0" distR="0" wp14:anchorId="241E0639" wp14:editId="2EE17C5E">
            <wp:extent cx="5927290" cy="2227186"/>
            <wp:effectExtent l="0" t="0" r="0" b="0"/>
            <wp:docPr id="6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209" t="26173" r="31210" b="4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45" cy="222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 w:cs="Times New Roman"/>
        </w:rPr>
        <w:t xml:space="preserve">   </w:t>
      </w:r>
    </w:p>
    <w:p w:rsidR="00252025" w:rsidRPr="00CE1E2A" w:rsidRDefault="00252025" w:rsidP="00252025">
      <w:pPr>
        <w:ind w:firstLine="708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Narvonsimon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shaxobchalarining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tashkil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etuvchilari</w:t>
      </w:r>
      <w:proofErr w:type="spellEnd"/>
      <w:r w:rsidRPr="00CE1E2A">
        <w:rPr>
          <w:rFonts w:eastAsiaTheme="minorHAnsi" w:cs="Times New Roman"/>
        </w:rPr>
        <w:t xml:space="preserve">  (R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, R</w:t>
      </w:r>
      <w:r w:rsidRPr="00CE1E2A">
        <w:rPr>
          <w:rFonts w:eastAsiaTheme="minorHAnsi" w:cs="Times New Roman"/>
          <w:vertAlign w:val="subscript"/>
        </w:rPr>
        <w:t>3</w:t>
      </w:r>
      <w:r w:rsidRPr="00CE1E2A">
        <w:rPr>
          <w:rFonts w:eastAsiaTheme="minorHAnsi" w:cs="Times New Roman"/>
        </w:rPr>
        <w:t xml:space="preserve">... </w:t>
      </w:r>
      <w:proofErr w:type="spellStart"/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n</w:t>
      </w:r>
      <w:proofErr w:type="spellEnd"/>
      <w:r w:rsidRPr="00CE1E2A">
        <w:rPr>
          <w:rFonts w:eastAsiaTheme="minorHAnsi" w:cs="Times New Roman"/>
        </w:rPr>
        <w:t xml:space="preserve">)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qutblik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ko'ndalang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shaxobchalariga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kiruvchi</w:t>
      </w:r>
      <w:proofErr w:type="spellEnd"/>
      <w:r w:rsidRPr="00CE1E2A">
        <w:rPr>
          <w:rFonts w:eastAsiaTheme="minorHAnsi" w:cs="Times New Roman"/>
        </w:rPr>
        <w:t xml:space="preserve">  (G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,  G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>,G</w:t>
      </w:r>
      <w:r w:rsidRPr="00CE1E2A">
        <w:rPr>
          <w:rFonts w:eastAsiaTheme="minorHAnsi" w:cs="Times New Roman"/>
          <w:vertAlign w:val="subscript"/>
        </w:rPr>
        <w:t>6</w:t>
      </w:r>
      <w:r w:rsidRPr="00CE1E2A">
        <w:rPr>
          <w:rFonts w:eastAsiaTheme="minorHAnsi" w:cs="Times New Roman"/>
        </w:rPr>
        <w:t>,...,G</w:t>
      </w:r>
      <w:r w:rsidRPr="00CE1E2A">
        <w:rPr>
          <w:rFonts w:eastAsiaTheme="minorHAnsi" w:cs="Times New Roman"/>
          <w:vertAlign w:val="subscript"/>
        </w:rPr>
        <w:t>n-1</w:t>
      </w:r>
      <w:r w:rsidRPr="00CE1E2A">
        <w:rPr>
          <w:rFonts w:eastAsiaTheme="minorHAnsi" w:cs="Times New Roman"/>
        </w:rPr>
        <w:t xml:space="preserve">)  </w:t>
      </w:r>
      <w:proofErr w:type="spellStart"/>
      <w:r w:rsidRPr="00CE1E2A">
        <w:rPr>
          <w:rFonts w:eastAsiaTheme="minorHAnsi" w:cs="Times New Roman"/>
        </w:rPr>
        <w:t>lardir</w:t>
      </w:r>
      <w:proofErr w:type="spellEnd"/>
      <w:r w:rsidRPr="00CE1E2A">
        <w:rPr>
          <w:rFonts w:eastAsiaTheme="minorHAnsi" w:cs="Times New Roman"/>
        </w:rPr>
        <w:t xml:space="preserve">.  Agar  </w:t>
      </w:r>
      <w:proofErr w:type="spellStart"/>
      <w:r w:rsidRPr="00CE1E2A">
        <w:rPr>
          <w:rFonts w:eastAsiaTheme="minorHAnsi" w:cs="Times New Roman"/>
        </w:rPr>
        <w:t>narvonsimon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zanjirlarning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ko'ndalang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shaxobchasi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to'g'ridan-to'g'ri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tashqi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qismlarga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ulansa</w:t>
      </w:r>
      <w:proofErr w:type="spellEnd"/>
      <w:r w:rsidRPr="00CE1E2A">
        <w:rPr>
          <w:rFonts w:eastAsiaTheme="minorHAnsi" w:cs="Times New Roman"/>
        </w:rPr>
        <w:t xml:space="preserve">  (4-rasm, ), </w:t>
      </w:r>
      <w:proofErr w:type="spellStart"/>
      <w:r w:rsidRPr="00CE1E2A">
        <w:rPr>
          <w:rFonts w:eastAsiaTheme="minorHAnsi" w:cs="Times New Roman"/>
        </w:rPr>
        <w:t>unda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zanjirsimon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kasr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o'tkazuvchanlik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ko'rinishida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yoziladi</w:t>
      </w:r>
      <w:proofErr w:type="spellEnd"/>
      <w:r w:rsidRPr="00CE1E2A">
        <w:rPr>
          <w:rFonts w:eastAsiaTheme="minorHAnsi" w:cs="Times New Roman"/>
        </w:rPr>
        <w:t>:</w:t>
      </w:r>
    </w:p>
    <w:p w:rsidR="00252025" w:rsidRPr="00CE1E2A" w:rsidRDefault="00252025" w:rsidP="00252025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0439BC52" wp14:editId="35FA41C6">
            <wp:extent cx="5949264" cy="1260389"/>
            <wp:effectExtent l="19050" t="0" r="0" b="0"/>
            <wp:docPr id="1844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339" t="10617" r="26529" b="73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64" cy="12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25" w:rsidRPr="00CE1E2A" w:rsidRDefault="00252025" w:rsidP="00252025">
      <w:pPr>
        <w:ind w:firstLine="708"/>
        <w:jc w:val="center"/>
        <w:rPr>
          <w:rFonts w:eastAsiaTheme="minorHAnsi" w:cs="Times New Roman"/>
          <w:lang w:eastAsia="ru-RU"/>
        </w:rPr>
      </w:pPr>
      <w:r w:rsidRPr="00CE1E2A">
        <w:rPr>
          <w:rFonts w:eastAsiaTheme="minorHAnsi" w:cs="Times New Roman"/>
          <w:lang w:eastAsia="ru-RU"/>
        </w:rPr>
        <w:t xml:space="preserve">4 – </w:t>
      </w:r>
      <w:proofErr w:type="spellStart"/>
      <w:proofErr w:type="gramStart"/>
      <w:r w:rsidRPr="00CE1E2A">
        <w:rPr>
          <w:rFonts w:eastAsiaTheme="minorHAnsi" w:cs="Times New Roman"/>
          <w:lang w:eastAsia="ru-RU"/>
        </w:rPr>
        <w:t>rasm</w:t>
      </w:r>
      <w:proofErr w:type="spellEnd"/>
      <w:proofErr w:type="gramEnd"/>
    </w:p>
    <w:p w:rsidR="00252025" w:rsidRPr="00CE1E2A" w:rsidRDefault="00252025" w:rsidP="00252025">
      <w:pPr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368A75A7" wp14:editId="78D05A50">
            <wp:extent cx="6058799" cy="2547991"/>
            <wp:effectExtent l="0" t="0" r="0" b="0"/>
            <wp:docPr id="7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591" t="60988" r="35427" b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50" cy="255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F1" w:rsidRPr="00252025" w:rsidRDefault="001E59F1" w:rsidP="00252025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sz w:val="26"/>
        </w:rPr>
      </w:pPr>
    </w:p>
    <w:sectPr w:rsidR="001E59F1" w:rsidRPr="002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2232"/>
    <w:multiLevelType w:val="hybridMultilevel"/>
    <w:tmpl w:val="8E389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43"/>
    <w:rsid w:val="001E59F1"/>
    <w:rsid w:val="00252025"/>
    <w:rsid w:val="006A4643"/>
    <w:rsid w:val="008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02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25202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25202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25202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25202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25202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25202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5202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25202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25202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25202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25202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25202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2520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25202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2520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2520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2520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25202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252025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2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02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25202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25202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25202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25202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25202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25202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5202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25202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25202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25202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25202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25202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2520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25202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2520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2520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2520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25202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252025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2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2023-01-20T07:35:00Z</dcterms:created>
  <dcterms:modified xsi:type="dcterms:W3CDTF">2023-07-11T09:48:00Z</dcterms:modified>
</cp:coreProperties>
</file>