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ED3A" w14:textId="729F8464" w:rsidR="00C350BF" w:rsidRPr="005B6EF1" w:rsidRDefault="00C350BF" w:rsidP="00C350B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C350BF">
        <w:rPr>
          <w:rFonts w:ascii="Times New Roman" w:hAnsi="Times New Roman"/>
          <w:b/>
          <w:i/>
          <w:iCs/>
          <w:color w:val="FF0000"/>
          <w:sz w:val="36"/>
          <w:szCs w:val="36"/>
          <w:lang w:val="en-US"/>
        </w:rPr>
        <w:t>MAVZU:</w:t>
      </w:r>
      <w:r w:rsidRPr="00C350BF">
        <w:rPr>
          <w:rFonts w:ascii="Times New Roman" w:hAnsi="Times New Roman"/>
          <w:b/>
          <w:i/>
          <w:iCs/>
          <w:sz w:val="36"/>
          <w:szCs w:val="36"/>
          <w:lang w:val="en-US"/>
        </w:rPr>
        <w:t>ISSIQXONADA</w:t>
      </w:r>
      <w:proofErr w:type="gramEnd"/>
      <w:r w:rsidRPr="00C350BF">
        <w:rPr>
          <w:rFonts w:ascii="Times New Roman" w:hAnsi="Times New Roman"/>
          <w:b/>
          <w:i/>
          <w:iCs/>
          <w:sz w:val="36"/>
          <w:szCs w:val="36"/>
          <w:lang w:val="en-US"/>
        </w:rPr>
        <w:t xml:space="preserve"> O`SIMLIKLARNI YETISHTIRISHDA KICHIK HAJMDAGI TEXNOLOGIYALARDA TOMCHILAB SUG’ORISHNI TASHKIL QILISH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.</w:t>
      </w:r>
    </w:p>
    <w:p w14:paraId="2253784E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>Topshiriq</w:t>
      </w:r>
      <w:proofErr w:type="spellEnd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jadalligi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qoplamalarni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o’tka-zuvchanligi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yo’qotish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darajasini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aniqlashni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o’rganish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hamda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jadalligini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o’lchaydigan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asboblar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tanishish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773AFE95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>Uslubiy</w:t>
      </w:r>
      <w:proofErr w:type="spellEnd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 xml:space="preserve"> </w:t>
      </w:r>
      <w:proofErr w:type="spellStart"/>
      <w:proofErr w:type="gramStart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>ko‘</w:t>
      </w:r>
      <w:proofErr w:type="gramEnd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>rsatma</w:t>
      </w:r>
      <w:proofErr w:type="spellEnd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Topshiriqni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bajarishda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talabalar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ikki-uch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kishilik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kichik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guruhlarga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bo’linib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ishlaydilar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ammo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daftariga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yozuvni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talaba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mustaqil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boradi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Oldiniga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tashqarisidagi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aniqlashi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shundan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so’ng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xildagi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qoplagichlar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yopilgan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darajada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ifloslangan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2D459E74" w14:textId="77777777" w:rsidR="00C350BF" w:rsidRPr="002E47C6" w:rsidRDefault="00C350BF" w:rsidP="00C350BF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ichidagi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aniqlaydilar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Yoritilganlik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kamida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uch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nuqtasidan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o’lchanadi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o’rtacha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ko’rsatkich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chiqariladi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62DC9996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jadalligi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lyuksda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Yanishevskiy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Kozirevlarni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piranometrlari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o’lchanadi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u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priyomnigi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–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selen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sele-novogo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fotoelementidan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galvanometrdan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birlashtiruvchi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simlar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-dan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tashkil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topgan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43FCFA57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jadalligini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10-16, 10-116, 10-117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raqamli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lyuks-metrlar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ishlash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tizimi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fotoelektrik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samara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qilishga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asoslangan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Fotoelementni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yuzini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yoritishda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tok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bo’lib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o’lchov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asboblari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ro’yxatga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5B1CB631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Lyuksmetrlarda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ikkita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shkala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: 0 dan 30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0 dan 100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gacha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Har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shkalada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nuqtalar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o’lchovlarni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diapozoni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ko’rsatilgan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O’lchov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asbobini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korpusi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yon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devorchalarida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selenli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fotoelementni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ulaydigan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qo’shadigan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vilka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Fotoelement-dagi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xatoliklarni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kamaytirish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tomonida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K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harifi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ifodalangan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nasadka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moslama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o’rnatilgan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moslama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mus-taqil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qo’llanilmay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uchta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M, R, T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raqamlari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ifoda-langan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pasaytirish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koeffitsienti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10, 100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1000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bo’lgan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uchta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bosh-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moslamalarni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birgalikda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qo’llaniladi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778666CA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Piranometr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lyuksmetrlar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ishlashda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urilishi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tebranishilardan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sotriseniy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asrash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Fotoelement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nasadka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-lar)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moslamalar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sezgir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optik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asbob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sifatida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muomala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7A225049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lastRenderedPageBreak/>
        <w:t>Ishni</w:t>
      </w:r>
      <w:proofErr w:type="spellEnd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>bajarish</w:t>
      </w:r>
      <w:proofErr w:type="spellEnd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>tartibi</w:t>
      </w:r>
      <w:proofErr w:type="spellEnd"/>
      <w:r w:rsidRPr="002E47C6">
        <w:rPr>
          <w:rFonts w:ascii="Times New Roman" w:hAnsi="Times New Roman"/>
          <w:i/>
          <w:iCs/>
          <w:sz w:val="32"/>
          <w:szCs w:val="32"/>
          <w:lang w:val="en-US"/>
        </w:rPr>
        <w:t xml:space="preserve">. </w:t>
      </w:r>
      <w:r w:rsidRPr="002E47C6">
        <w:rPr>
          <w:rFonts w:ascii="Times New Roman" w:hAnsi="Times New Roman"/>
          <w:sz w:val="32"/>
          <w:szCs w:val="32"/>
          <w:lang w:val="en-US"/>
        </w:rPr>
        <w:t xml:space="preserve">Har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kichik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guruh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talabalari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alohida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issiqxonalarda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shug’ullanadilar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turidagi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qoplamalarni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ifloslanganlik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darajasi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o’l-changandan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so’ng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guruh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issiqxonalardagi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guruhlar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almashinib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turdagi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issiqxonalarga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o’tadilar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SHunday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kichik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guruh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xo’jaligida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aylanib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116EF8EF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2E47C6">
        <w:rPr>
          <w:rFonts w:ascii="Times New Roman" w:hAnsi="Times New Roman"/>
          <w:sz w:val="32"/>
          <w:szCs w:val="32"/>
          <w:lang w:val="en-US"/>
        </w:rPr>
        <w:t xml:space="preserve">Har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bo’yicha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o’lchangan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yoritilganlik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darajasi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natijalarini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o’quvchilar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quyidagi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13-jadvalga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yozadilar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69509867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Shundan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so’ng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talabalar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xonalariga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o’tib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u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yerda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hisoblarni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boradilar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yoritilganlik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darajalarini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taqqoslab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qoplamalarni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o’tkazuvchanligini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yo’qotiladigan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sarfini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aniqlaydilar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53F38E5E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qoplamalarini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o’tkazuchanligini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quyidagi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formula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aniqlaydilar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: </w:t>
      </w:r>
    </w:p>
    <w:p w14:paraId="41A99C04" w14:textId="77777777" w:rsidR="00C350BF" w:rsidRPr="002E47C6" w:rsidRDefault="00C350BF" w:rsidP="00C350BF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22D32690" w14:textId="77777777" w:rsidR="00C350BF" w:rsidRPr="002E47C6" w:rsidRDefault="00C350BF" w:rsidP="00C350BF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197B2560" w14:textId="77777777" w:rsidR="00C350BF" w:rsidRPr="002E47C6" w:rsidRDefault="00C350BF" w:rsidP="00C350BF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24559D28" w14:textId="77777777" w:rsidR="00C350BF" w:rsidRPr="002E47C6" w:rsidRDefault="00C350BF" w:rsidP="00C350BF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  <w:r w:rsidRPr="002E47C6">
        <w:rPr>
          <w:rFonts w:ascii="Times New Roman" w:hAnsi="Times New Roman"/>
          <w:sz w:val="32"/>
          <w:szCs w:val="32"/>
          <w:lang w:val="en-US"/>
        </w:rPr>
        <w:t xml:space="preserve">ET –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issiqxonaning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yoritilganlik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2E47C6">
        <w:rPr>
          <w:rFonts w:ascii="Times New Roman" w:hAnsi="Times New Roman"/>
          <w:sz w:val="32"/>
          <w:szCs w:val="32"/>
          <w:lang w:val="en-US"/>
        </w:rPr>
        <w:t>lk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>;</w:t>
      </w:r>
      <w:proofErr w:type="gram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037AD3BD" w14:textId="77777777" w:rsidR="00C350BF" w:rsidRPr="002E47C6" w:rsidRDefault="00C350BF" w:rsidP="00C350BF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  <w:r w:rsidRPr="002E47C6">
        <w:rPr>
          <w:rFonts w:ascii="Times New Roman" w:hAnsi="Times New Roman"/>
          <w:sz w:val="32"/>
          <w:szCs w:val="32"/>
          <w:lang w:val="en-US"/>
        </w:rPr>
        <w:t xml:space="preserve">EN –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yoritilganlik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lk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1A19A2B9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sarfi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miqdorini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100 dan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o’tkazuvchanlikni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chegirib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yo’li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64845B5C" w14:textId="77777777" w:rsidR="00C350BF" w:rsidRPr="002E47C6" w:rsidRDefault="00C350BF" w:rsidP="00C350BF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2E47C6">
        <w:rPr>
          <w:rFonts w:ascii="Times New Roman" w:hAnsi="Times New Roman"/>
          <w:sz w:val="32"/>
          <w:szCs w:val="32"/>
          <w:lang w:val="en-US"/>
        </w:rPr>
        <w:t xml:space="preserve">Agar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talabalar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tashqi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yoritilganlikni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xo’jalikda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barcha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issiqxonalarda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yoritilganlikni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o’tkazuvchanligi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bo’yicha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hisoblarini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ulardagi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yorug’lik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sarfi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miqdorini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aniqlagan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bo’lsalar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topshiriq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bajarilgan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E47C6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2E47C6">
        <w:rPr>
          <w:rFonts w:ascii="Times New Roman" w:hAnsi="Times New Roman"/>
          <w:sz w:val="32"/>
          <w:szCs w:val="32"/>
          <w:lang w:val="en-US"/>
        </w:rPr>
        <w:t>.</w:t>
      </w:r>
    </w:p>
    <w:p w14:paraId="20055BA8" w14:textId="6216C64C" w:rsidR="00C350BF" w:rsidRPr="00DD62EE" w:rsidRDefault="00C350BF" w:rsidP="00C350BF">
      <w:pPr>
        <w:spacing w:after="96" w:line="240" w:lineRule="auto"/>
        <w:outlineLvl w:val="0"/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</w:pPr>
      <w:proofErr w:type="spellStart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Tomchilatib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 xml:space="preserve"> </w:t>
      </w:r>
      <w:proofErr w:type="spellStart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sug'orish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 xml:space="preserve"> - </w:t>
      </w:r>
      <w:proofErr w:type="spellStart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bunday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 xml:space="preserve"> </w:t>
      </w:r>
      <w:proofErr w:type="spellStart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tizimning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 xml:space="preserve"> </w:t>
      </w:r>
      <w:proofErr w:type="spellStart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asosiy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 xml:space="preserve"> </w:t>
      </w:r>
      <w:proofErr w:type="spellStart"/>
      <w:r w:rsid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maqsad</w:t>
      </w:r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larini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 xml:space="preserve"> </w:t>
      </w:r>
      <w:proofErr w:type="spellStart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qanday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 xml:space="preserve"> </w:t>
      </w:r>
      <w:proofErr w:type="spellStart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tushunish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 xml:space="preserve"> </w:t>
      </w:r>
      <w:proofErr w:type="spellStart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kerak</w:t>
      </w:r>
      <w:proofErr w:type="spellEnd"/>
      <w:r w:rsidRPr="00DD62EE">
        <w:rPr>
          <w:rFonts w:ascii="Poppins" w:eastAsia="Times New Roman" w:hAnsi="Poppins" w:cs="Poppins"/>
          <w:b/>
          <w:bCs/>
          <w:color w:val="212121"/>
          <w:spacing w:val="-10"/>
          <w:kern w:val="36"/>
          <w:sz w:val="40"/>
          <w:szCs w:val="40"/>
          <w:lang w:val="en-US" w:eastAsia="ru-RU"/>
        </w:rPr>
        <w:t>?</w:t>
      </w:r>
    </w:p>
    <w:p w14:paraId="0899F535" w14:textId="77777777" w:rsidR="00C350BF" w:rsidRPr="00DD62EE" w:rsidRDefault="00C350BF" w:rsidP="00DD62E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0A0A0"/>
          <w:sz w:val="40"/>
          <w:szCs w:val="40"/>
          <w:lang w:val="en-US" w:eastAsia="ru-RU"/>
        </w:rPr>
      </w:pPr>
    </w:p>
    <w:p w14:paraId="15609613" w14:textId="7B1A3840" w:rsidR="00C350BF" w:rsidRPr="002E47C6" w:rsidRDefault="00C350BF" w:rsidP="00C350B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 wp14:anchorId="7FC5EFCA" wp14:editId="3BAD1C0F">
                <wp:extent cx="304800" cy="304800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29BD" id="Прямоугольник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678D0F24" wp14:editId="3FAB502C">
            <wp:extent cx="5940425" cy="3122930"/>
            <wp:effectExtent l="0" t="0" r="3175" b="1270"/>
            <wp:docPr id="22" name="Рисунок 22" descr="Tomchilatib sug'orish bunday tizimning asosiy nuandalarini qanday tushunish kera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chilatib sug'orish bunday tizimning asosiy nuandalarini qanday tushunish kerak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A03A3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Ko'pgina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odamlar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sug'orishdan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foydalanib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o'simliklarni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o'z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hududida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sug'oradi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mustaqil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ravishda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tashkil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etilishi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mumkin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. </w:t>
      </w:r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U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muayyan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qoidalar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funktsiyalarga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muvofiq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tanlangan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necha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qismlardan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iborat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Shuningdek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u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qator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kamchiliklarga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ham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.</w:t>
      </w:r>
    </w:p>
    <w:p w14:paraId="3F1A488D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sug'orishni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tashkillashtirish</w:t>
      </w:r>
      <w:proofErr w:type="spellEnd"/>
    </w:p>
    <w:p w14:paraId="6E5E15DF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</w:pPr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Bu nom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o'simliklar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ildizlariga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yetkazish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ishlatiladigan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o'tkazgichlarining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tarvaqaylab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qo'yilgan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usuli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deb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tushuniladi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Ko'p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odamlar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shuning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operatsion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tamoyili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juda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oddiy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qanday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hayron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: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quvur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suyuq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jo'mrakdan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tushadi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yoki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quduqdan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nasosi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foydalanish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keyin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u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o'simliklar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ketadi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oqimi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sxemasini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hisobga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muhimdir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asosiysi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simlarning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oddiyligi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ammo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amaliy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.</w:t>
      </w:r>
    </w:p>
    <w:p w14:paraId="2A7A053F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Tomchilab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uskunalar</w:t>
      </w:r>
      <w:proofErr w:type="spellEnd"/>
    </w:p>
    <w:p w14:paraId="516CCBC3" w14:textId="1A237BE2" w:rsidR="00C350BF" w:rsidRPr="00DD62EE" w:rsidRDefault="00C350BF" w:rsidP="00DD62EE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Ushbu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turdagi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o'rnatish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oddiy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vazifadir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kim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xohlasa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u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kurashishi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vana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shuning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asosiy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quvurlar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taymer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lenta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fitinglar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filtrlar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uring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nasos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: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ochiq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havoda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issiqxonada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quyidagi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komponentlar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beradi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Qurilmaning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to'g'ri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ishlashi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uzilishlarsiz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ishlashi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elementni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tanlashga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javob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berish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muhimdir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.</w:t>
      </w:r>
    </w:p>
    <w:p w14:paraId="55D1E83B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lastRenderedPageBreak/>
        <w:t>Tomchilab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shlang</w:t>
      </w:r>
      <w:proofErr w:type="spellEnd"/>
    </w:p>
    <w:p w14:paraId="70C70AF4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Tegishli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shlanglarni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tanlashda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e'tiborga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necha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muhim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jihatlar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mavjud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.</w:t>
      </w:r>
    </w:p>
    <w:p w14:paraId="1EFC2595" w14:textId="77777777" w:rsidR="00C350BF" w:rsidRPr="002E47C6" w:rsidRDefault="00C350BF" w:rsidP="00C350B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Ko'pchilik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uzunligi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nima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manfaatdor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shuning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variant 1,5 dan 100 m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gacha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kiritilgan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4A3A912E" w14:textId="77777777" w:rsidR="00C350BF" w:rsidRPr="002E47C6" w:rsidRDefault="00C350BF" w:rsidP="00C350B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Diametri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ishlab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chiqarishga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bog'liq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Uzoq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sizga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katta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diametr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Standart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parametr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13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43E07990" w14:textId="77777777" w:rsidR="00C350BF" w:rsidRPr="002E47C6" w:rsidRDefault="00C350BF" w:rsidP="00C350B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xizmat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qilish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muddati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u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ishlab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chiqarilgan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materialga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bog'liq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shuning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mashhur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variant -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vinil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PVX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kauchuk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Ikkinchi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variant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-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eng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yaxshisidir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15A459B7" w14:textId="77777777" w:rsidR="00C350BF" w:rsidRPr="002E47C6" w:rsidRDefault="00C350BF" w:rsidP="00C350B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bosim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chegarasi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u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unga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chiday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Masalan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takomillashtirilgan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varianti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5-6 bar,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qavatli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- 2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bardan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ko'p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bo'lmagan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5D127122" w14:textId="77777777" w:rsidR="00C350BF" w:rsidRPr="002E47C6" w:rsidRDefault="00C350BF" w:rsidP="00C350B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Issiqlik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vaqtida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emas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balki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qishda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kamayib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ketmasligi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past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haroratda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ham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buzilmaydigan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tanlang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Yaxshiroq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opak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variantlarni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sotib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chunki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gullashga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moyil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bo'ladilar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278B1346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Tomchilab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lenta</w:t>
      </w:r>
      <w:proofErr w:type="spellEnd"/>
    </w:p>
    <w:p w14:paraId="1D6F29D1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tashkil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etish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ko'plab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bog'bonlar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optimallashtirish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imkon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qadar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sifatli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qiladigan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lentani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tanlaydilar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Aksariyat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variantlarning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diametri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22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16 mm.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Bantlar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turli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qalinligi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maksimal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15 ml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-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toshli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sirt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mos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mashhur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variant - 6 ml.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tizimi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bunday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bantlardan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iborat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bo'lishi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mumkin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:</w:t>
      </w:r>
    </w:p>
    <w:p w14:paraId="4CA3F20B" w14:textId="68E61558" w:rsidR="00C350BF" w:rsidRPr="002E47C6" w:rsidRDefault="00C350BF" w:rsidP="00C350B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 wp14:anchorId="317CD6E0" wp14:editId="7703D3ED">
                <wp:extent cx="304800" cy="304800"/>
                <wp:effectExtent l="0" t="0" r="0" b="0"/>
                <wp:docPr id="19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FA532" id="Прямоугольник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1D4C0ADF" wp14:editId="62FD29D3">
            <wp:extent cx="5940425" cy="4293235"/>
            <wp:effectExtent l="0" t="0" r="3175" b="0"/>
            <wp:docPr id="18" name="Рисунок 18" descr="tomchilatib sug'orish uchun l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mchilatib sug'orish uchun len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CD397" w14:textId="77777777" w:rsidR="00C350BF" w:rsidRPr="002E47C6" w:rsidRDefault="00C350BF" w:rsidP="00C350B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Labirint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arzon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lenta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tezligini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pasaytiradigan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zigzagga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o'xshash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shaklga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suyuqlik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yaxshi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isitiladi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lekin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muhim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minus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mavjud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-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siz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xil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erisha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olmaysiz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3BCE3C4B" w14:textId="77777777" w:rsidR="00C350BF" w:rsidRPr="002E47C6" w:rsidRDefault="00C350BF" w:rsidP="00C350B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Crevice.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Bundan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osonroq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zamonaviy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zamonaviyroq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versiya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Samarali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ishlash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yuqori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sifatli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shuning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siz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filtrlardan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foydalanishingiz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71EBED6C" w14:textId="77777777" w:rsidR="00C350BF" w:rsidRPr="002E47C6" w:rsidRDefault="00C350BF" w:rsidP="00C350B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Emitent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yuvishga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chidamli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yuqori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sifatli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ishonchli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variant.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Lenta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kompensatsiya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qilinadi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kompensatsiyalanmaydi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Birinchi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lastRenderedPageBreak/>
        <w:t>variantda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tarmoqli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uzunligi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oqimiga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ta'sir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qilmaydi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ikkinchi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variant,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aksincha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030042D2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Tomchilab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fittinglar</w:t>
      </w:r>
      <w:proofErr w:type="spellEnd"/>
    </w:p>
    <w:p w14:paraId="3C102C0F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</w:pPr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Minimal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vaqt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yo'qotilishi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murakkab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tizimlarni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yig'ish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muhim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turli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xil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elementlar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tugunlar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mavjud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qanday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aniq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sayt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zarur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elementlarning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miqdorini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aniqlash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qanday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tashkil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etilganini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tushunish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muhimdir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Tanlashda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e'tiborga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olish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kerak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bo'lgan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qator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mezonlar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mavjud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.</w:t>
      </w:r>
    </w:p>
    <w:p w14:paraId="53771703" w14:textId="77777777" w:rsidR="00C350BF" w:rsidRPr="002E47C6" w:rsidRDefault="00C350BF" w:rsidP="00C350B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Birlamchi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ikkilamchi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bo'lishi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bo'lgan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yuqori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bosimli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polietilen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quvurlar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ishlab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chiqarish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Birinchi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variant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yanada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sifatli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barcha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davlat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standartlariga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javob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beradi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1ABABD96" w14:textId="77777777" w:rsidR="00C350BF" w:rsidRPr="002E47C6" w:rsidRDefault="00C350BF" w:rsidP="00C350B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Armatura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butun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yuzasi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silliq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hech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qanday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tushkunlikka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tushmasligi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0907E1C3" w14:textId="77777777" w:rsidR="00C350BF" w:rsidRPr="002E47C6" w:rsidRDefault="00C350BF" w:rsidP="00C350B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Yana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muhim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tanlash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qoida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o'rinli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- end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qisqich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yuzasi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o'qi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qat'iy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tik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holatda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0E6CA725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turli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qismlardan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foydalanish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imkonini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beradi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ko'pchiligi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3/4 "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lik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quvur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diametrlariga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mos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keladi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Ba'zi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mashhur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tafsilotlar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:</w:t>
      </w:r>
    </w:p>
    <w:p w14:paraId="7954FDD8" w14:textId="77777777" w:rsidR="00C350BF" w:rsidRPr="002E47C6" w:rsidRDefault="00C350BF" w:rsidP="00C350B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gram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Mini-starter</w:t>
      </w:r>
      <w:proofErr w:type="gram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Asosiy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trubkani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tushirish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tasmasini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ulaydi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Qo'shimcha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muhrlarni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ishlatish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emas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4C9B4BA4" w14:textId="2C99126A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 wp14:anchorId="0949C908" wp14:editId="1855BF50">
                <wp:extent cx="304800" cy="304800"/>
                <wp:effectExtent l="0" t="0" r="0" b="0"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9A06C" id="Прямоугольник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6EB1FE56" wp14:editId="1283DF16">
            <wp:extent cx="5940425" cy="2700020"/>
            <wp:effectExtent l="0" t="0" r="3175" b="5080"/>
            <wp:docPr id="16" name="Рисунок 16" descr="Tomchilab sug'orish uchun fitting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mchilab sug'orish uchun fitting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1BC4C" w14:textId="77777777" w:rsidR="00C350BF" w:rsidRPr="002E47C6" w:rsidRDefault="00C350BF" w:rsidP="00C350B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>Quloqli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>boshlovchi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trubkasini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bosish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zichligini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oshirish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maxsus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presslash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mavjud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lenta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odatiy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tarzda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o'rnatiladi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4991BB20" w14:textId="04D67574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D771F8E" wp14:editId="0C53C5C3">
                <wp:extent cx="304800" cy="304800"/>
                <wp:effectExtent l="0" t="0" r="0" b="0"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F1ABE" id="Прямоугольник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1E025D3C" wp14:editId="545BB2CC">
            <wp:extent cx="5940425" cy="2700020"/>
            <wp:effectExtent l="0" t="0" r="3175" b="5080"/>
            <wp:docPr id="14" name="Рисунок 14" descr="Tomchilab sug'orish uchun fitting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mchilab sug'orish uchun fitting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49CDA" w14:textId="77777777" w:rsidR="00C350BF" w:rsidRPr="002E47C6" w:rsidRDefault="00C350BF" w:rsidP="00C350B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Siqib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olish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tee.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Yotoqlarning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joylashgan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joyiga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qarab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tizimning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burmalarini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ta'minlash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fittingning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ushbu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versiyasidan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foydalaning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U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tasmani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tizimga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ulaydi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6FC25C6A" w14:textId="19A94770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 wp14:anchorId="5BBF87AF" wp14:editId="2272656A">
                <wp:extent cx="304800" cy="304800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1C126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5DC529F3" wp14:editId="501BF0E0">
            <wp:extent cx="5940425" cy="2700020"/>
            <wp:effectExtent l="0" t="0" r="3175" b="5080"/>
            <wp:docPr id="12" name="Рисунок 12" descr="Tomchilab sug'orish uchun fitting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mchilab sug'orish uchun fitting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04D37" w14:textId="77777777" w:rsidR="00C350BF" w:rsidRPr="002E47C6" w:rsidRDefault="00C350BF" w:rsidP="00C350B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Adapter.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Quvurlar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quvurlarni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tekislash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o'rnatiladi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Nonlar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muhrlangan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1F7EF074" w14:textId="1DD9E5AE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FE74643" wp14:editId="2E3E0F33">
                <wp:extent cx="304800" cy="304800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3951D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167F6344" wp14:editId="7DEDED49">
            <wp:extent cx="5940425" cy="1934845"/>
            <wp:effectExtent l="0" t="0" r="3175" b="8255"/>
            <wp:docPr id="10" name="Рисунок 10" descr="Tomchilab sug'orish uchun fitting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omchilab sug'orish uchun fitting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B51D4" w14:textId="77777777" w:rsidR="00C350BF" w:rsidRPr="002E47C6" w:rsidRDefault="00C350BF" w:rsidP="00C350B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Vinçni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kelepçe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boshlash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Bunday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plastmassani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asosiy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plastmassa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trubka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ustiga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joylashtiring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kelepçe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aloqani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mustahkam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o'tkazadi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6FDF1AFD" w14:textId="05B03BDD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 wp14:anchorId="300FE2F9" wp14:editId="53FC009C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956E3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6C8337EE" wp14:editId="0689B9C1">
            <wp:extent cx="5940425" cy="2691130"/>
            <wp:effectExtent l="0" t="0" r="3175" b="0"/>
            <wp:docPr id="8" name="Рисунок 8" descr="Tomchilab sug'orish uchun fitting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mchilab sug'orish uchun fittingl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A18BC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121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filtr</w:t>
      </w:r>
      <w:proofErr w:type="spellEnd"/>
    </w:p>
    <w:p w14:paraId="6A83D7D6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Filtrni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tanlayotganda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siz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tarmoqli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kengligini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hisobga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olishingiz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kerak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bu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indikator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filtrni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ko'rsatadi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Parametr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3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100 m3 / s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gacha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chegaraga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kiradi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Filtrning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o'tkazuvchanligi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nasosning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etkazib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beradigan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suv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hajmidan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katta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bo'lishi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kerak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ikki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turdagi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filtrni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ichiga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:</w:t>
      </w:r>
    </w:p>
    <w:p w14:paraId="5EFC0A2D" w14:textId="77777777" w:rsidR="00C350BF" w:rsidRPr="002E47C6" w:rsidRDefault="00C350BF" w:rsidP="00C350BF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Netted.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ta'minlash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tizimidan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yoki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quduqdan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filtratsiyasi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javob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beradi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tarkibida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mineral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kichik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zarralar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masalan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loy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boshqalarni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ushlab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turadigan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panjara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mavjud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061F4D99" w14:textId="77777777" w:rsidR="00C350BF" w:rsidRPr="002E47C6" w:rsidRDefault="00C350BF" w:rsidP="00C350BF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Disk.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Ochiq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ombori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ushbu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filtri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tanlovi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yanada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qulayroq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u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qimmatroq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lekin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u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yanada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samarali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ishonchli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Disc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filtrlari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universal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organik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mineral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aralashmalarni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kechiktiradilar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Yana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ortiqcha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-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tozalash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oson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79F0939C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Tomchilab tomchilatib sug'orish uchun taymer</w:t>
      </w:r>
    </w:p>
    <w:p w14:paraId="1D5BCE3F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lastRenderedPageBreak/>
        <w:t>Tizimni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takomillashtirish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sizga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taymer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o'rnatishingiz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Issiqxona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ochiq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maydon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tizimi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bunday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taymerni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ichiga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:</w:t>
      </w:r>
    </w:p>
    <w:p w14:paraId="6604030D" w14:textId="77777777" w:rsidR="00C350BF" w:rsidRPr="002E47C6" w:rsidRDefault="00C350BF" w:rsidP="00C350B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Qo'l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yoki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mexanik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Ushbu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taymerning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ishlashi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doimiy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monitoringni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talab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Avtomatik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qurilmaning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paydo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bo'lishi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bilan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bog'liqligini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yo'qotishdi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42F60475" w14:textId="77777777" w:rsidR="00C350BF" w:rsidRPr="002E47C6" w:rsidRDefault="00C350BF" w:rsidP="00C350B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Avtomatik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ushbu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dasturga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muvofiq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amalga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oshiriladi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Qurilma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vaqtida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iste'mol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qilinadigan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miqdorini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tartibga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solishi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parametr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issiqxona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yanada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qulaydir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7315C435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color w:val="212121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Tomchilab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nasos</w:t>
      </w:r>
      <w:proofErr w:type="spellEnd"/>
    </w:p>
    <w:p w14:paraId="25151EF0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Neft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yoki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havzasidan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bo'lsa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nasosni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sotib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Suyuqlik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sug'orishdan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oldin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isitilishi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juda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muhimdir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. Bog '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sho'ng'in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chuqurligini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suvning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qanday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balandligi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ta'minlanishini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bilishga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loyiq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nasos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sotib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olishni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anglatadi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Nasoslarning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asosiy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turlari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:</w:t>
      </w:r>
    </w:p>
    <w:p w14:paraId="3650B66E" w14:textId="77777777" w:rsidR="00C350BF" w:rsidRPr="002E47C6" w:rsidRDefault="00C350BF" w:rsidP="00C350B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Suvni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yoki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yon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tomonni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tashish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Maksimal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chuqurlik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1,2 m.ni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tashkil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u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kichik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vaznga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o'rnatilgan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filtr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bosim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regulyatori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51735A40" w14:textId="0D142F79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01059EA0" wp14:editId="58E966A8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1806D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15A1D3E" w14:textId="77777777" w:rsidR="00C350BF" w:rsidRPr="002E47C6" w:rsidRDefault="00C350BF" w:rsidP="00C350B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Yuzli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10 m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chuqurlikda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faoliyat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ko'rsatmoqda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Bu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nasoslar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chunki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tufayli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kamsitish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nasos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shikastlanishiga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to'sib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devor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tomonidan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yaratilgan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salbiy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bosim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an'anaviy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yumshoq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rezina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foydalanish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emas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qurishda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0920C51E" w14:textId="79E4A997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 wp14:anchorId="4FA308A9" wp14:editId="3A7371E1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E26F0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36D176" w14:textId="77777777" w:rsidR="00C350BF" w:rsidRPr="002E47C6" w:rsidRDefault="00DD62EE" w:rsidP="00C350B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hyperlink r:id="rId12" w:history="1">
        <w:proofErr w:type="spellStart"/>
        <w:r w:rsidR="00C350BF" w:rsidRPr="002E47C6">
          <w:rPr>
            <w:rFonts w:ascii="Poppins" w:eastAsia="Times New Roman" w:hAnsi="Poppins" w:cs="Poppins"/>
            <w:b/>
            <w:bCs/>
            <w:color w:val="AF1A1A"/>
            <w:sz w:val="32"/>
            <w:szCs w:val="32"/>
            <w:u w:val="single"/>
            <w:lang w:eastAsia="ru-RU"/>
          </w:rPr>
          <w:t>Drenaj</w:t>
        </w:r>
        <w:proofErr w:type="spellEnd"/>
        <w:r w:rsidR="00C350BF" w:rsidRPr="002E47C6">
          <w:rPr>
            <w:rFonts w:ascii="Poppins" w:eastAsia="Times New Roman" w:hAnsi="Poppins" w:cs="Poppins"/>
            <w:b/>
            <w:bCs/>
            <w:color w:val="AF1A1A"/>
            <w:sz w:val="32"/>
            <w:szCs w:val="32"/>
            <w:u w:val="single"/>
            <w:lang w:eastAsia="ru-RU"/>
          </w:rPr>
          <w:t>.</w:t>
        </w:r>
      </w:hyperlink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 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Suv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ta'minoti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ifloslangan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suv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havzalaridan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amalga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oshirilganda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ushbu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parametrdan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foydalaning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va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suvni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boshqa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nasos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yoki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tabiiy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bosim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orqali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tomchilatib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sug'orish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tizimiga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tushirish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mo'ljallangan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tanklarni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to'ldirish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ham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javob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beradi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. U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katta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boshli</w:t>
      </w:r>
      <w:proofErr w:type="spellEnd"/>
      <w:r w:rsidR="00C350BF"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570E733C" w14:textId="1E89B148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C901F80" wp14:editId="1D429638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2405A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06796B1" w14:textId="77777777" w:rsidR="00C350BF" w:rsidRPr="002E47C6" w:rsidRDefault="00C350BF" w:rsidP="00C350B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Suvli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Ushbu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nasoslar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markazlashtirilgan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vibratsiyali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asosiy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afzalligi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shundaki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katta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chuqurlik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ta'minlash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Santrifüj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indikator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50 m,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titrash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- 200 m.</w:t>
      </w:r>
    </w:p>
    <w:p w14:paraId="010CF299" w14:textId="3734D113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00154A38" wp14:editId="516BFF7A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6F9E7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4BCCFC38" wp14:editId="504F3A43">
            <wp:extent cx="5940425" cy="4239260"/>
            <wp:effectExtent l="0" t="0" r="3175" b="8890"/>
            <wp:docPr id="3" name="Рисунок 3" descr="tomchilab sug'orish uchun na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omchilab sug'orish uchun nas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774B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color w:val="212121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lastRenderedPageBreak/>
        <w:t>Tomchilatib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turlari</w:t>
      </w:r>
      <w:proofErr w:type="spellEnd"/>
    </w:p>
    <w:p w14:paraId="35074520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sug'orishning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o'ziga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xos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xususiyatlari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tafsilotlari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mavjud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Siz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avtomatik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o'rnatishingiz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lekin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avtomatik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emas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lekin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birinchi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variant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yanada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qulaydir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.</w:t>
      </w:r>
    </w:p>
    <w:p w14:paraId="72F39E09" w14:textId="77777777" w:rsidR="00C350BF" w:rsidRPr="002E47C6" w:rsidRDefault="00C350BF" w:rsidP="00C350B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Droplet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shlang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Asosiy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element 3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atmgacha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bosimga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bardosh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beradigan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qalin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devorli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quvurdir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natijasida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uzoq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masofalarga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etkazib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berish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Emitterlar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yoki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tomchalar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muntazam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ravishda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o'rnatiladi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Ko'p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hollarda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oqim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tezligi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gram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1-2</w:t>
      </w:r>
      <w:proofErr w:type="gram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l / s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dir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0702AF11" w14:textId="77777777" w:rsidR="00C350BF" w:rsidRPr="002E47C6" w:rsidRDefault="00C350BF" w:rsidP="00C350B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Tomchi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lenta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Lenta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asosiy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ulangan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liniyasining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uzunligi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450 m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gacha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yetishi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hajmi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esa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500 l /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soatgacha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boradi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0D02D2F4" w14:textId="77777777" w:rsidR="00C350BF" w:rsidRPr="002E47C6" w:rsidRDefault="00C350BF" w:rsidP="00C350B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Tashqi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mikrodroplar</w:t>
      </w:r>
      <w:proofErr w:type="spell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mikroto'lqinlar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yordamida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amalga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oshiriladi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ayrim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turlari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namunalarida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tartibga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solinishi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Damponlar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quvurlarning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tashqi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tomoniga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yoki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biriktirilgan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filiallarga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o'rnatiladi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4063A1D3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color w:val="212121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Tomchilab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qanday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qilinadi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eastAsia="ru-RU"/>
        </w:rPr>
        <w:t>?</w:t>
      </w:r>
    </w:p>
    <w:p w14:paraId="4943E48F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Saytda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qo'llari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tashkil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qilish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Avvaliga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ularni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necha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to'shakda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o'stirish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yaxshiroq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keyin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esa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butun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bog'da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o'sadi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Sizning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sug'orishni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o'zingiz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qilish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oddiy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ko'rsatma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mavjud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:</w:t>
      </w:r>
    </w:p>
    <w:p w14:paraId="4CA411AC" w14:textId="77777777" w:rsidR="00C350BF" w:rsidRPr="002E47C6" w:rsidRDefault="00C350BF" w:rsidP="00C350BF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Shlangi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ta'minotiga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ulangan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Kirni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ushlab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turadigan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filtrni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qo'yish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juda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muhim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4D46D783" w14:textId="77777777" w:rsidR="00C350BF" w:rsidRPr="002E47C6" w:rsidRDefault="00C350BF" w:rsidP="00C350BF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lastRenderedPageBreak/>
        <w:t>Shlangdagi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avlni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ishlatib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kichik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teshiklar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ishlab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chiqariladi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oxirida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vilka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o'rnatiladi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31C6A93D" w14:textId="77777777" w:rsidR="00C350BF" w:rsidRPr="002E47C6" w:rsidRDefault="00C350BF" w:rsidP="00C350BF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Bug'doy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yoki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emitrlarni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qo'yish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2D574B2C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sug'orishning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kamchiliklari</w:t>
      </w:r>
      <w:proofErr w:type="spellEnd"/>
    </w:p>
    <w:p w14:paraId="08EBB1CD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imkoniyati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belgilanadigan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bo'lsak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nafaqat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afzalliklarni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balki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kamchiliklarni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hisobga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.</w:t>
      </w:r>
    </w:p>
    <w:p w14:paraId="5510BEA4" w14:textId="77777777" w:rsidR="00C350BF" w:rsidRPr="002E47C6" w:rsidRDefault="00C350BF" w:rsidP="00C350BF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Avtomatik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tizimi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organik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kimyoviy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manbalar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hatto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o'simliklarning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ayrim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qismlari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yopilishi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7E6E8A1E" w14:textId="77777777" w:rsidR="00C350BF" w:rsidRPr="002E47C6" w:rsidRDefault="00C350BF" w:rsidP="00C350BF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Mexanik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usuli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solishtiradigan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bo'lsak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narxi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ancha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yuqori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71B59A5B" w14:textId="77777777" w:rsidR="00C350BF" w:rsidRPr="002E47C6" w:rsidRDefault="00C350BF" w:rsidP="00C350BF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bantlar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shlanglar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zararkunandalarga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nisbatan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zaifdir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masalan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kemiruvchilar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yovvoyi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cho'chqalar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5EEF7FD4" w14:textId="77777777" w:rsidR="00C350BF" w:rsidRPr="002E47C6" w:rsidRDefault="00C350BF" w:rsidP="00C350BF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Bunday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tizimlarning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o'rtacha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umri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ikki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yildan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oshmaydi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Yıpranma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yirtig'i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bo'lgani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uning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qismlari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o'zgarishi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esa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xarajatlarni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talab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2507E213" w14:textId="77777777" w:rsidR="00C350BF" w:rsidRPr="002E47C6" w:rsidRDefault="00C350BF" w:rsidP="00C350B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Tomchilab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vaqtida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suvni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iste'mol</w:t>
      </w:r>
      <w:proofErr w:type="spellEnd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qilish</w:t>
      </w:r>
      <w:proofErr w:type="spellEnd"/>
    </w:p>
    <w:p w14:paraId="3A78C89F" w14:textId="77777777" w:rsidR="00C350BF" w:rsidRPr="002E47C6" w:rsidRDefault="00C350BF" w:rsidP="00C350BF">
      <w:pPr>
        <w:shd w:val="clear" w:color="auto" w:fill="FFFFFF"/>
        <w:spacing w:after="240" w:line="240" w:lineRule="auto"/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</w:pP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Tizimning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ko'rsatkichlarini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hisoblashda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muayyan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vaqt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davomida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namlik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sarfini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hisobga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olish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muhim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ahamiyatga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ega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Tomchilatib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sxemasi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namlikni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tuproqning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sifati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turini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suyuqlik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manbaini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tezligi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hajmini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tomizgan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tomchining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uzunligini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o'lchashni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 talab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>qiladi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Suvni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to'ldirish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turiga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ko'ra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,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uch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xil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emitentlar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mavjud</w:t>
      </w:r>
      <w:proofErr w:type="spellEnd"/>
      <w:r w:rsidRPr="002E47C6">
        <w:rPr>
          <w:rFonts w:ascii="Source Sans Pro" w:eastAsia="Times New Roman" w:hAnsi="Source Sans Pro" w:cs="Poppins"/>
          <w:color w:val="393F3F"/>
          <w:sz w:val="32"/>
          <w:szCs w:val="32"/>
          <w:lang w:eastAsia="ru-RU"/>
        </w:rPr>
        <w:t>:</w:t>
      </w:r>
    </w:p>
    <w:p w14:paraId="46B54DCF" w14:textId="77777777" w:rsidR="00C350BF" w:rsidRPr="002E47C6" w:rsidRDefault="00C350BF" w:rsidP="00C350BF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gram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>0,6-0,8</w:t>
      </w:r>
      <w:proofErr w:type="gram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 xml:space="preserve"> l / s.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Ushbu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parametr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juda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uzun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chiziqlar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mos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keladi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ulardagi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suyuqlik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teng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lastRenderedPageBreak/>
        <w:t>ravishda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iste'mol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qilinadi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Sekin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namlashni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talab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qiladigan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o'simliklar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tanlang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Ushbu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oqim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darajasi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kam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samaradorlikdagi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manbalari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tavsiya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etiladi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3476D411" w14:textId="77777777" w:rsidR="00C350BF" w:rsidRPr="002E47C6" w:rsidRDefault="00C350BF" w:rsidP="00C350BF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1-1,5 l / s.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Oddiy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tuproqlarda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ishlatiladigan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standart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versiya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Eng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keng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tarqalgan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xarajat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4DB27029" w14:textId="77777777" w:rsidR="00C350BF" w:rsidRPr="002E47C6" w:rsidRDefault="00C350BF" w:rsidP="00C350BF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gramStart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>2-3,8</w:t>
      </w:r>
      <w:proofErr w:type="gramEnd"/>
      <w:r w:rsidRPr="002E47C6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 xml:space="preserve"> l / s.</w:t>
      </w:r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 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Ushbu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parametrni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qumli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erga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joylashtiring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va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kuchli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ildiz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tizimiga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ega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bo'lgan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o'simliklar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javob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beradi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Bu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katta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suv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oqimidir</w:t>
      </w:r>
      <w:proofErr w:type="spellEnd"/>
      <w:r w:rsidRPr="002E47C6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5185A285" w14:textId="10135BDA" w:rsidR="00C350BF" w:rsidRPr="002E47C6" w:rsidRDefault="00C350BF" w:rsidP="00C350BF">
      <w:pPr>
        <w:shd w:val="clear" w:color="auto" w:fill="FFFFFF"/>
        <w:spacing w:after="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1F4BAD4" wp14:editId="4D8C07C8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4A347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47C6">
        <w:rPr>
          <w:rFonts w:ascii="Poppins" w:eastAsia="Times New Roman" w:hAnsi="Poppins" w:cs="Poppins"/>
          <w:noProof/>
          <w:color w:val="393F3F"/>
          <w:sz w:val="32"/>
          <w:szCs w:val="32"/>
          <w:lang w:eastAsia="ru-RU"/>
        </w:rPr>
        <w:drawing>
          <wp:inline distT="0" distB="0" distL="0" distR="0" wp14:anchorId="74B006E4" wp14:editId="691C2F4D">
            <wp:extent cx="5940425" cy="4473575"/>
            <wp:effectExtent l="0" t="0" r="3175" b="3175"/>
            <wp:docPr id="1" name="Рисунок 1" descr="tomchilab sug'orish vaqtida suv oq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omchilab sug'orish vaqtida suv oqim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D377" w14:textId="77777777" w:rsidR="00CB69B5" w:rsidRPr="00C350BF" w:rsidRDefault="00CB69B5">
      <w:pPr>
        <w:rPr>
          <w:sz w:val="32"/>
          <w:szCs w:val="32"/>
          <w:lang w:val="en-US"/>
        </w:rPr>
      </w:pPr>
    </w:p>
    <w:sectPr w:rsidR="00CB69B5" w:rsidRPr="00C3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21B"/>
    <w:multiLevelType w:val="multilevel"/>
    <w:tmpl w:val="2B4E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F2E6B"/>
    <w:multiLevelType w:val="multilevel"/>
    <w:tmpl w:val="F61E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C100F"/>
    <w:multiLevelType w:val="multilevel"/>
    <w:tmpl w:val="7E64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717EA"/>
    <w:multiLevelType w:val="multilevel"/>
    <w:tmpl w:val="630C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35826"/>
    <w:multiLevelType w:val="multilevel"/>
    <w:tmpl w:val="DC44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87D38"/>
    <w:multiLevelType w:val="multilevel"/>
    <w:tmpl w:val="1C86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A3D54"/>
    <w:multiLevelType w:val="multilevel"/>
    <w:tmpl w:val="EF9C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F6A8D"/>
    <w:multiLevelType w:val="multilevel"/>
    <w:tmpl w:val="0208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A6D1E"/>
    <w:multiLevelType w:val="multilevel"/>
    <w:tmpl w:val="CEEA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43894"/>
    <w:multiLevelType w:val="multilevel"/>
    <w:tmpl w:val="653E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B4474"/>
    <w:multiLevelType w:val="multilevel"/>
    <w:tmpl w:val="8D4E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D37835"/>
    <w:multiLevelType w:val="multilevel"/>
    <w:tmpl w:val="DC96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E2"/>
    <w:rsid w:val="002E47C6"/>
    <w:rsid w:val="00C350BF"/>
    <w:rsid w:val="00CB69B5"/>
    <w:rsid w:val="00DD62EE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4B51"/>
  <w15:chartTrackingRefBased/>
  <w15:docId w15:val="{2491571D-C10C-4784-87C3-DF15575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0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35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5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5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p-wp-byline">
    <w:name w:val="amp-wp-byline"/>
    <w:basedOn w:val="a"/>
    <w:rsid w:val="00C35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50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5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5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402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  <w:div w:id="16389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8724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  <w:div w:id="1117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6752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8" w:color="auto"/>
                    <w:bottom w:val="single" w:sz="12" w:space="0" w:color="auto"/>
                    <w:right w:val="single" w:sz="12" w:space="8" w:color="auto"/>
                  </w:divBdr>
                </w:div>
              </w:divsChild>
            </w:div>
          </w:divsChild>
        </w:div>
        <w:div w:id="1290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uz.everaoh.com/bogni-sugorish-uchun-nasosli-naso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2046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2022-02-24T03:37:00Z</dcterms:created>
  <dcterms:modified xsi:type="dcterms:W3CDTF">2022-02-24T03:42:00Z</dcterms:modified>
</cp:coreProperties>
</file>