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04" w:rsidRPr="003E5004" w:rsidRDefault="003E5004" w:rsidP="003E5004">
      <w:pPr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                                   </w:t>
      </w:r>
      <w:r w:rsidRPr="003E5004">
        <w:rPr>
          <w:rFonts w:ascii="Times New Roman" w:hAnsi="Times New Roman" w:cs="Times New Roman"/>
          <w:sz w:val="28"/>
          <w:szCs w:val="28"/>
          <w:lang w:val="en-US"/>
        </w:rPr>
        <w:t>MAVZU: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5004">
        <w:rPr>
          <w:rFonts w:ascii="Times New Roman" w:hAnsi="Times New Roman" w:cs="Times New Roman"/>
          <w:sz w:val="28"/>
          <w:szCs w:val="28"/>
        </w:rPr>
        <w:t>TADBIRKORLIKNI SOLIQQA TORTISH</w:t>
      </w:r>
    </w:p>
    <w:p w:rsidR="003E5004" w:rsidRDefault="003E5004" w:rsidP="003E5004">
      <w:pPr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</w:pPr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  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Barcha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biznes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toifalari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uchun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soliq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yukini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kamaytirish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va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qulaylashtirish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shu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asosda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ishlab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chiqarishni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va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soliqqa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tortiladigan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bazani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kengaytirish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zarur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O‘z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ehtiyoji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uchun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obyektlar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qurayotgan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yangi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tashkil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etilgan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kichik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va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o‘rta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tadbirkorlik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subyektlariga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yagona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soliq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to‘lovini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ma’lum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muddatga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kechiktirish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huquqini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berish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darkor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Shuningdek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kichik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korxonalar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qo‘</w:t>
      </w:r>
      <w:proofErr w:type="gram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shimcha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qiymat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solig‘i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to‘lashga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o‘tishni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rag‘batlantirish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shart</w:t>
      </w:r>
      <w:proofErr w:type="spellEnd"/>
      <w:r w:rsidRPr="003E5004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.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 xml:space="preserve">                                               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Prezidenti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Sh.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Mirziyoyev</w:t>
      </w:r>
      <w:proofErr w:type="spellEnd"/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SOLIQLAR VA BOSHQA MAJBURIY </w:t>
      </w:r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LOVLAR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Respublikasining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tahrirdagi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erkinligining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kafolatlari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to‘g‘risida»gi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qonuni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9-moddasida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subyektlarining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majburiyatlari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qatorida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to‘lashi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kodeksida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lovlar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tushunchalari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yoritib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o‘tilgan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Kodeksda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miqdorlarda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undiriladigan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qaytarib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berilmaydigan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beg‘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araz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xususiyatga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budjetga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yo‘naltiriladigan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tushuniladi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lovlar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Kodeksda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maqsadli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jamg‘armalariga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bojxona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vakolatli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organlar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mansabdor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yuridik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molik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harakatlarni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to‘lovchilarga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huquqlarni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litsenziyalar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beruvchi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hujjatlarni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to‘lanishi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yig‘imlar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boji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tushuniladi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kodeksi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12-modda 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oshirishi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mablag‘larni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shaxslardan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budjetga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undirish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SOLIQ SOLISHNING UMUMBELGILANGAN VA SODDALASHTIRILGAN TARTIBI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boshlagan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hisoblash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to‘lash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borasida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yetarli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bilimga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tavsifiga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xarajat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mazmuniga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natijalariga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ko‘rsatadi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o‘zi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to‘laydigan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oldindan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rejalashtirmaslik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faoliyatiga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ko‘rsatishi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solishning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tartibidan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ma’qulligini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aniqlab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subyektlari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lastRenderedPageBreak/>
        <w:t>xil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rinishda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tortilishi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: 1)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soddalashtirilgan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hisoblab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lashda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hisobkitob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muddatda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summasi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to‘lab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boriladi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lovchilarni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qo‘llab-quvvatlash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rag‘batlantirish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shart-sharoit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imtiyozlar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nechtasi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rniga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umumlashtirilgan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etilishi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solishning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soddalashtirilgan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solishning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toifadagi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lovchilar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belgilanadigan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hisoblab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to‘lashning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hisobotini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etishning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qo‘llanilishini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nazarda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tutuvchi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kodeksi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22-modda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ikkala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>llaniluvchi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turlarini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UMUMBELGILANGAN SOLIQLAR VA BOSHQA MAJBURIY </w:t>
      </w:r>
      <w:proofErr w:type="gram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LOVLARNING TURLARI </w:t>
      </w:r>
    </w:p>
    <w:p w:rsidR="000428C6" w:rsidRPr="003E5004" w:rsidRDefault="003E5004" w:rsidP="003E500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kodeksining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23-moddasida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hududida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sanab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o‘tilgan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turlariga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quyidagilar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kiritilgan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Yuridik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shaxslardan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olinadigan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solig‘i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shaxslardan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olinadigan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solig‘i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Qo‘shilgan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solig‘i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Mol-mulk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solig‘i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Benzin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dizel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yonilg‘isi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ishlatganlik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olinadigan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qa’ridan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foydalanuvchilar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Aksiz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solig‘i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solig‘i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resurslaridan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foydalanganlik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budjetdan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Pensiya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jamg‘armasiga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fuqarolarning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sug‘urta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badallari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maqsadli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jamg‘armalariga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ajratmalar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maqsadli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jamg‘armalariga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Bojxona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Chakana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savdo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xizmatlarni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huquqi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yig‘im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boji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umumbelgilangan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to‘lov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3E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004">
        <w:rPr>
          <w:rFonts w:ascii="Times New Roman" w:hAnsi="Times New Roman" w:cs="Times New Roman"/>
          <w:sz w:val="28"/>
          <w:szCs w:val="28"/>
          <w:lang w:val="en-US"/>
        </w:rPr>
        <w:t>quyidagilardan</w:t>
      </w:r>
      <w:proofErr w:type="spellEnd"/>
    </w:p>
    <w:sectPr w:rsidR="000428C6" w:rsidRPr="003E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C3"/>
    <w:rsid w:val="003E5004"/>
    <w:rsid w:val="004C4AC3"/>
    <w:rsid w:val="006A39D5"/>
    <w:rsid w:val="00E1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FD25"/>
  <w15:chartTrackingRefBased/>
  <w15:docId w15:val="{C52657EE-B83D-4CD3-9EB0-88BC4D7A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2021-12-21T19:23:00Z</dcterms:created>
  <dcterms:modified xsi:type="dcterms:W3CDTF">2021-12-21T19:31:00Z</dcterms:modified>
</cp:coreProperties>
</file>